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15" w:rsidRDefault="00170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:rsidR="00170215" w:rsidRDefault="001702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51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740"/>
        <w:gridCol w:w="7420"/>
      </w:tblGrid>
      <w:tr w:rsidR="00170215">
        <w:trPr>
          <w:trHeight w:val="1115"/>
        </w:trPr>
        <w:tc>
          <w:tcPr>
            <w:tcW w:w="7740" w:type="dxa"/>
          </w:tcPr>
          <w:p w:rsidR="00170215" w:rsidRDefault="00157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:rsidR="00170215" w:rsidRDefault="001577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1733550" cy="12700"/>
                      <wp:effectExtent l="0" t="0" r="0" b="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79225" y="378000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F6D67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113pt;margin-top:18pt;width:136.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"/>
                  </w:pict>
                </mc:Fallback>
              </mc:AlternateContent>
            </w:r>
          </w:p>
        </w:tc>
        <w:tc>
          <w:tcPr>
            <w:tcW w:w="7420" w:type="dxa"/>
          </w:tcPr>
          <w:p w:rsidR="00170215" w:rsidRPr="00C55C1C" w:rsidRDefault="001577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5C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 HIỆU TRƯỞNG</w:t>
            </w:r>
          </w:p>
          <w:p w:rsidR="00170215" w:rsidRPr="00C55C1C" w:rsidRDefault="001577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5C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2021-2022</w:t>
            </w:r>
          </w:p>
          <w:bookmarkStart w:id="1" w:name="_heading=h.30j0zll" w:colFirst="0" w:colLast="0"/>
          <w:bookmarkEnd w:id="1"/>
          <w:p w:rsidR="00170215" w:rsidRDefault="00C55C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D5F9FDD" wp14:editId="78849F66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200025</wp:posOffset>
                      </wp:positionV>
                      <wp:extent cx="1485900" cy="12700"/>
                      <wp:effectExtent l="0" t="0" r="19050" b="254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1980135" id="Straight Arrow Connector 27" o:spid="_x0000_s1026" type="#_x0000_t32" style="position:absolute;margin-left:120pt;margin-top:15.75pt;width:117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8 TỪ NGÀY 25/10 ĐẾN NGÀY </w:t>
            </w:r>
            <w:r w:rsidR="00157750" w:rsidRPr="00C55C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157750" w:rsidRPr="00C55C1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/10/2021</w:t>
            </w:r>
          </w:p>
        </w:tc>
      </w:tr>
    </w:tbl>
    <w:p w:rsidR="00170215" w:rsidRDefault="00157750">
      <w:pPr>
        <w:spacing w:after="0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010075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:rsidR="00170215" w:rsidRDefault="0015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Nhiệm vụ được phân công: Hiệu trưởng  </w:t>
      </w:r>
    </w:p>
    <w:p w:rsidR="00170215" w:rsidRDefault="0017021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38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3261"/>
        <w:gridCol w:w="3260"/>
        <w:gridCol w:w="1985"/>
        <w:gridCol w:w="4394"/>
      </w:tblGrid>
      <w:tr w:rsidR="00170215" w:rsidTr="00F15D2A">
        <w:tc>
          <w:tcPr>
            <w:tcW w:w="991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985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Bộ phận trực</w:t>
            </w:r>
          </w:p>
        </w:tc>
        <w:tc>
          <w:tcPr>
            <w:tcW w:w="4394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9A0140" w:rsidTr="00F15D2A">
        <w:tc>
          <w:tcPr>
            <w:tcW w:w="991" w:type="dxa"/>
          </w:tcPr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25/10</w:t>
            </w:r>
          </w:p>
        </w:tc>
        <w:tc>
          <w:tcPr>
            <w:tcW w:w="3261" w:type="dxa"/>
          </w:tcPr>
          <w:p w:rsidR="009A0140" w:rsidRDefault="009A01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giảng dạy trực tuyến qua Internet, học online qua phần mềm zoom theo TKB</w:t>
            </w:r>
            <w:r w:rsidR="00E541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tuần 8.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A0140" w:rsidRDefault="009A0140" w:rsidP="00C55C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7170">
              <w:rPr>
                <w:rFonts w:ascii="Times New Roman" w:eastAsia="Times New Roman" w:hAnsi="Times New Roman" w:cs="Times New Roman"/>
                <w:sz w:val="28"/>
                <w:szCs w:val="28"/>
              </w:rPr>
              <w:t>- 10h: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giao ban BGH, CTCĐ, TPT </w:t>
            </w:r>
          </w:p>
        </w:tc>
        <w:tc>
          <w:tcPr>
            <w:tcW w:w="3260" w:type="dxa"/>
          </w:tcPr>
          <w:p w:rsidR="00767423" w:rsidRDefault="009A01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67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Chấm bài giảng </w:t>
            </w:r>
          </w:p>
          <w:p w:rsidR="009A0140" w:rsidRPr="00157750" w:rsidRDefault="007674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E-</w:t>
            </w:r>
            <w:r w:rsidR="009A0140" w:rsidRPr="007371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Lea</w:t>
            </w:r>
            <w:r w:rsidR="009903EE" w:rsidRPr="007371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  <w:r w:rsidR="009A0140" w:rsidRPr="007371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ring các tổ</w:t>
            </w:r>
            <w:r w:rsidR="009A0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0140" w:rsidRPr="0015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(TP: BGH, Đ/c Ngọc, Hiền K1, Hoài Linh)</w:t>
            </w:r>
          </w:p>
          <w:p w:rsidR="009A0140" w:rsidRDefault="009A01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71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15h: Chuyên đề LT&amp;C lớp 5A1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TP: BGH+GV tổ 5)</w:t>
            </w:r>
          </w:p>
          <w:p w:rsidR="009A0140" w:rsidRDefault="009A0140" w:rsidP="00C55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 2 SHCM</w:t>
            </w:r>
          </w:p>
        </w:tc>
        <w:tc>
          <w:tcPr>
            <w:tcW w:w="1985" w:type="dxa"/>
          </w:tcPr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831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đ.c </w:t>
            </w:r>
            <w:r w:rsidR="00F15D2A">
              <w:rPr>
                <w:rFonts w:ascii="Times New Roman" w:eastAsia="Times New Roman" w:hAnsi="Times New Roman" w:cs="Times New Roman"/>
                <w:sz w:val="28"/>
                <w:szCs w:val="28"/>
              </w:rPr>
              <w:t>Trà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Hải</w:t>
            </w:r>
          </w:p>
        </w:tc>
        <w:tc>
          <w:tcPr>
            <w:tcW w:w="4394" w:type="dxa"/>
            <w:vAlign w:val="center"/>
          </w:tcPr>
          <w:p w:rsidR="009A0140" w:rsidRPr="00F36E8A" w:rsidRDefault="009A0140" w:rsidP="009A0140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0140" w:rsidTr="00F15D2A">
        <w:tc>
          <w:tcPr>
            <w:tcW w:w="991" w:type="dxa"/>
          </w:tcPr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9A0140" w:rsidRDefault="009A0140" w:rsidP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26/10</w:t>
            </w:r>
          </w:p>
        </w:tc>
        <w:tc>
          <w:tcPr>
            <w:tcW w:w="3261" w:type="dxa"/>
          </w:tcPr>
          <w:p w:rsidR="009A0140" w:rsidRPr="007A5EF3" w:rsidRDefault="00E73188" w:rsidP="007A5E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A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loại báo cáo giải trình theo KH giám sát </w:t>
            </w:r>
            <w:r w:rsidR="00737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 Đảng ủy phường Thượng Thanh</w:t>
            </w:r>
            <w:r w:rsidR="00C16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(QĐ số 43-QĐ/ĐU ngày 18.10.2021</w:t>
            </w:r>
            <w:r w:rsidR="007A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3260" w:type="dxa"/>
          </w:tcPr>
          <w:p w:rsidR="009A0140" w:rsidRPr="009A0140" w:rsidRDefault="009903E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A0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19h30: </w:t>
            </w:r>
            <w:r w:rsidR="009A0140" w:rsidRPr="009A0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Dự giờ đ/c Ph. Thảo lớp 2A2 (KTNB)</w:t>
            </w:r>
          </w:p>
          <w:p w:rsidR="009A0140" w:rsidRDefault="009A0140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 3 SHCM</w:t>
            </w:r>
          </w:p>
        </w:tc>
        <w:tc>
          <w:tcPr>
            <w:tcW w:w="1985" w:type="dxa"/>
          </w:tcPr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:rsidR="009A0140" w:rsidRDefault="00F15D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-GV:</w:t>
            </w:r>
            <w:r w:rsidR="00831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đ.c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N.Phương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Quang,</w:t>
            </w:r>
          </w:p>
          <w:p w:rsidR="009A0140" w:rsidRDefault="009A0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Thuyến</w:t>
            </w:r>
          </w:p>
        </w:tc>
        <w:tc>
          <w:tcPr>
            <w:tcW w:w="4394" w:type="dxa"/>
            <w:vAlign w:val="center"/>
          </w:tcPr>
          <w:p w:rsidR="009A0140" w:rsidRPr="00F36E8A" w:rsidRDefault="009A0140" w:rsidP="009A0140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215" w:rsidTr="00F15D2A">
        <w:tc>
          <w:tcPr>
            <w:tcW w:w="991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70215" w:rsidRDefault="00C55C1C" w:rsidP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27/10</w:t>
            </w:r>
          </w:p>
        </w:tc>
        <w:tc>
          <w:tcPr>
            <w:tcW w:w="3261" w:type="dxa"/>
          </w:tcPr>
          <w:p w:rsidR="00170215" w:rsidRPr="00633E6A" w:rsidRDefault="0015775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3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633E6A" w:rsidRPr="00633E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8h30: Họp giao ban HT tại PGD.</w:t>
            </w:r>
          </w:p>
          <w:p w:rsidR="00170215" w:rsidRPr="009903EE" w:rsidRDefault="001702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6B63E3" w:rsidRDefault="001577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 4 SHCM</w:t>
            </w:r>
          </w:p>
          <w:p w:rsidR="007A5EF3" w:rsidRDefault="006B63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Làm các loại báo cáo giải trình theo KH giám sát của Đảng ủy phường Thượng Thanh (QĐ số 43-QĐ/ĐU ngày 18.10.2021).</w:t>
            </w:r>
          </w:p>
        </w:tc>
        <w:tc>
          <w:tcPr>
            <w:tcW w:w="1985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831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đ.c </w:t>
            </w:r>
            <w:r w:rsidR="00F15D2A"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Hải</w:t>
            </w:r>
          </w:p>
        </w:tc>
        <w:tc>
          <w:tcPr>
            <w:tcW w:w="4394" w:type="dxa"/>
          </w:tcPr>
          <w:p w:rsidR="00170215" w:rsidRDefault="001702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170215" w:rsidTr="00F15D2A">
        <w:tc>
          <w:tcPr>
            <w:tcW w:w="991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70215" w:rsidRDefault="00C55C1C" w:rsidP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28/10</w:t>
            </w:r>
          </w:p>
        </w:tc>
        <w:tc>
          <w:tcPr>
            <w:tcW w:w="3261" w:type="dxa"/>
          </w:tcPr>
          <w:p w:rsidR="00737170" w:rsidRPr="00737170" w:rsidRDefault="00737170" w:rsidP="0073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1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- 8h30: BGH, GV khối 2 dự chuyên đề Tiếng Việt 2 trực tuyến</w:t>
            </w:r>
            <w:r w:rsidRPr="00737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(Dạng bài </w:t>
            </w:r>
            <w:r w:rsidRPr="00737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đọc mở rộng) do TH Giang Biên thực hiện</w:t>
            </w:r>
          </w:p>
          <w:p w:rsidR="00170215" w:rsidRDefault="001702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33714" w:rsidRDefault="00737170" w:rsidP="00D3371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19h30: </w:t>
            </w:r>
            <w:r w:rsidRPr="009A0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Dự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chuyên đề LT&amp;C lớp 2A3</w:t>
            </w:r>
            <w:r w:rsidR="00D33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33714" w:rsidRPr="007371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="00D33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TP: BGH+GV tổ 2)</w:t>
            </w:r>
          </w:p>
          <w:p w:rsidR="00170215" w:rsidRPr="009A0140" w:rsidRDefault="00170215" w:rsidP="0073717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BGH: PHT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831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đ.c </w:t>
            </w:r>
            <w:r w:rsidR="00F15D2A">
              <w:rPr>
                <w:rFonts w:ascii="Times New Roman" w:eastAsia="Times New Roman" w:hAnsi="Times New Roman" w:cs="Times New Roman"/>
                <w:sz w:val="28"/>
                <w:szCs w:val="28"/>
              </w:rPr>
              <w:t>Dũng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đ.c Quang,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Thuyến</w:t>
            </w:r>
          </w:p>
        </w:tc>
        <w:tc>
          <w:tcPr>
            <w:tcW w:w="4394" w:type="dxa"/>
          </w:tcPr>
          <w:p w:rsidR="00170215" w:rsidRDefault="001702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215" w:rsidTr="00F15D2A">
        <w:tc>
          <w:tcPr>
            <w:tcW w:w="991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 w:rsidR="00170215" w:rsidRDefault="00C55C1C" w:rsidP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29/10</w:t>
            </w:r>
          </w:p>
        </w:tc>
        <w:tc>
          <w:tcPr>
            <w:tcW w:w="3261" w:type="dxa"/>
          </w:tcPr>
          <w:p w:rsidR="00737170" w:rsidRDefault="006B63E3" w:rsidP="001577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XD KH công tác tháng 11. </w:t>
            </w:r>
          </w:p>
          <w:p w:rsidR="006B63E3" w:rsidRPr="009903EE" w:rsidRDefault="006B63E3" w:rsidP="001577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Chuẩn bị nội dung họp chi bộ tháng 11.2021.</w:t>
            </w:r>
          </w:p>
        </w:tc>
        <w:tc>
          <w:tcPr>
            <w:tcW w:w="3260" w:type="dxa"/>
          </w:tcPr>
          <w:p w:rsidR="00170215" w:rsidRPr="00737170" w:rsidRDefault="00737170" w:rsidP="00E541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0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19h30: </w:t>
            </w:r>
            <w:r w:rsidRPr="009A0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Dự giờ </w:t>
            </w:r>
            <w:r w:rsidR="00EA1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và kiểm tra</w:t>
            </w:r>
            <w:r w:rsidR="00E541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toàn diện</w:t>
            </w:r>
            <w:r w:rsidR="00EA1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hồ sơ </w:t>
            </w:r>
            <w:r w:rsidR="00E541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  <w:r w:rsidR="00EA1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Nguyễn Phương Thảo lớp 2A2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A0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(KTNB)</w:t>
            </w:r>
          </w:p>
        </w:tc>
        <w:tc>
          <w:tcPr>
            <w:tcW w:w="1985" w:type="dxa"/>
          </w:tcPr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831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đ.c </w:t>
            </w:r>
            <w:r w:rsidR="00172895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</w:t>
            </w:r>
          </w:p>
          <w:p w:rsidR="00170215" w:rsidRDefault="001577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Hải</w:t>
            </w:r>
          </w:p>
        </w:tc>
        <w:tc>
          <w:tcPr>
            <w:tcW w:w="4394" w:type="dxa"/>
          </w:tcPr>
          <w:p w:rsidR="00170215" w:rsidRDefault="001702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C1C" w:rsidTr="00F15D2A">
        <w:tc>
          <w:tcPr>
            <w:tcW w:w="991" w:type="dxa"/>
          </w:tcPr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C55C1C" w:rsidRDefault="00C55C1C" w:rsidP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30/10</w:t>
            </w:r>
          </w:p>
        </w:tc>
        <w:tc>
          <w:tcPr>
            <w:tcW w:w="3261" w:type="dxa"/>
          </w:tcPr>
          <w:p w:rsidR="00C55C1C" w:rsidRDefault="00C55C1C">
            <w:r w:rsidRPr="00984E67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:rsidR="00C55C1C" w:rsidRDefault="00C55C1C">
            <w:r w:rsidRPr="00984E67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985" w:type="dxa"/>
          </w:tcPr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Quang,</w:t>
            </w:r>
          </w:p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Thuyến</w:t>
            </w:r>
          </w:p>
        </w:tc>
        <w:tc>
          <w:tcPr>
            <w:tcW w:w="4394" w:type="dxa"/>
          </w:tcPr>
          <w:p w:rsidR="00C55C1C" w:rsidRDefault="00C55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C1C" w:rsidTr="00F15D2A">
        <w:tc>
          <w:tcPr>
            <w:tcW w:w="991" w:type="dxa"/>
          </w:tcPr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C55C1C" w:rsidRDefault="00C55C1C" w:rsidP="00C55C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31/10</w:t>
            </w:r>
          </w:p>
        </w:tc>
        <w:tc>
          <w:tcPr>
            <w:tcW w:w="3261" w:type="dxa"/>
          </w:tcPr>
          <w:p w:rsidR="00C55C1C" w:rsidRDefault="00C55C1C">
            <w:r w:rsidRPr="00984E67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:rsidR="00C55C1C" w:rsidRDefault="00C55C1C">
            <w:r w:rsidRPr="00984E67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985" w:type="dxa"/>
          </w:tcPr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</w:t>
            </w:r>
          </w:p>
          <w:p w:rsidR="00C55C1C" w:rsidRDefault="00C5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Hải</w:t>
            </w:r>
          </w:p>
        </w:tc>
        <w:tc>
          <w:tcPr>
            <w:tcW w:w="4394" w:type="dxa"/>
          </w:tcPr>
          <w:p w:rsidR="00C55C1C" w:rsidRDefault="00C55C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B4609" w:rsidRPr="00C13DB0" w:rsidRDefault="00C13DB0" w:rsidP="001B4609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 </w:t>
      </w:r>
      <w:r w:rsidR="00584890" w:rsidRPr="00C13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Ghi chú: </w:t>
      </w:r>
      <w:r w:rsidR="00767423" w:rsidRPr="00C13DB0">
        <w:rPr>
          <w:rFonts w:ascii="Times New Roman" w:eastAsia="Times New Roman" w:hAnsi="Times New Roman" w:cs="Times New Roman"/>
          <w:color w:val="000000"/>
          <w:sz w:val="28"/>
          <w:szCs w:val="28"/>
        </w:rPr>
        <w:t>GV giảng dạy trực tuyến qua Internet, học online qua phần mềm zoom theo TKB</w:t>
      </w:r>
      <w:r w:rsidR="00BC3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tuần 8</w:t>
      </w:r>
      <w:r w:rsidR="00767423" w:rsidRPr="00C13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B4609">
        <w:rPr>
          <w:rFonts w:ascii="Times New Roman" w:eastAsia="Times New Roman" w:hAnsi="Times New Roman" w:cs="Times New Roman"/>
          <w:color w:val="000000"/>
          <w:sz w:val="28"/>
          <w:szCs w:val="28"/>
        </w:rPr>
        <w:t>PHT, TTCM dự giờ, thăm lớp trực tuyến</w:t>
      </w:r>
      <w:r w:rsidR="00BC3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GV. Đ.c Nguyễn Hoài Linh học lớp BD Đảng viên mới tại khu Liên cơ.</w:t>
      </w:r>
      <w:r w:rsidR="001728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đ.c GV trực </w:t>
      </w:r>
      <w:r w:rsidR="00895E2D">
        <w:rPr>
          <w:rFonts w:ascii="Times New Roman" w:eastAsia="Times New Roman" w:hAnsi="Times New Roman" w:cs="Times New Roman"/>
          <w:color w:val="000000"/>
          <w:sz w:val="28"/>
          <w:szCs w:val="28"/>
        </w:rPr>
        <w:t>dạy trực tuyến tại trường, thực hiện trực và cập nhật đầy đủ thông tin trong sổ trực.</w:t>
      </w:r>
      <w:r w:rsidR="00760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PHT lên lịch thi GVDG (hội giảng) theo đăng ký của các tổ chuyên môn.</w:t>
      </w:r>
    </w:p>
    <w:p w:rsidR="00767423" w:rsidRDefault="00767423" w:rsidP="00C13DB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0215" w:rsidRDefault="00170215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70215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7058"/>
    <w:multiLevelType w:val="hybridMultilevel"/>
    <w:tmpl w:val="33DAC152"/>
    <w:lvl w:ilvl="0" w:tplc="398AD99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692C1C"/>
    <w:multiLevelType w:val="hybridMultilevel"/>
    <w:tmpl w:val="987E909C"/>
    <w:lvl w:ilvl="0" w:tplc="885CBA6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AB1A49"/>
    <w:multiLevelType w:val="hybridMultilevel"/>
    <w:tmpl w:val="2C1801E2"/>
    <w:lvl w:ilvl="0" w:tplc="46242BAE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1456CA"/>
    <w:multiLevelType w:val="hybridMultilevel"/>
    <w:tmpl w:val="738898EE"/>
    <w:lvl w:ilvl="0" w:tplc="D20E0C2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82499D"/>
    <w:multiLevelType w:val="hybridMultilevel"/>
    <w:tmpl w:val="8556A32E"/>
    <w:lvl w:ilvl="0" w:tplc="7B306C1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150AE3"/>
    <w:multiLevelType w:val="hybridMultilevel"/>
    <w:tmpl w:val="A4D4C7C6"/>
    <w:lvl w:ilvl="0" w:tplc="4182697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170215"/>
    <w:rsid w:val="00010075"/>
    <w:rsid w:val="00146611"/>
    <w:rsid w:val="00157750"/>
    <w:rsid w:val="00170215"/>
    <w:rsid w:val="00172895"/>
    <w:rsid w:val="001B4609"/>
    <w:rsid w:val="00314D34"/>
    <w:rsid w:val="00584890"/>
    <w:rsid w:val="005D270F"/>
    <w:rsid w:val="005F0209"/>
    <w:rsid w:val="00633E6A"/>
    <w:rsid w:val="00672E6C"/>
    <w:rsid w:val="006B63E3"/>
    <w:rsid w:val="00737170"/>
    <w:rsid w:val="00737849"/>
    <w:rsid w:val="00760FD2"/>
    <w:rsid w:val="00767423"/>
    <w:rsid w:val="007A5EF3"/>
    <w:rsid w:val="00825E75"/>
    <w:rsid w:val="00831672"/>
    <w:rsid w:val="00895E2D"/>
    <w:rsid w:val="009903EE"/>
    <w:rsid w:val="009A0140"/>
    <w:rsid w:val="00A66DB5"/>
    <w:rsid w:val="00BC3B0C"/>
    <w:rsid w:val="00C13DB0"/>
    <w:rsid w:val="00C16419"/>
    <w:rsid w:val="00C55C1C"/>
    <w:rsid w:val="00D33714"/>
    <w:rsid w:val="00E541B5"/>
    <w:rsid w:val="00E73188"/>
    <w:rsid w:val="00EA1C9D"/>
    <w:rsid w:val="00F12BAB"/>
    <w:rsid w:val="00F1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YKcu3Tv6E2RQUEIKPfv+fuMUCw==">AMUW2mXh66S7W8Fd+TmvKa1/1L0rrmJnneyiBtOyqw+iGrmTIp9N32c7DEtI3B+1inODlgYJGO0osLYIaMnJn7qE0QONuDm0Ls5CSr/WkzaXfnKG+cOXV3RBttxtLwFJvgopR95fJBOa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8E2E06-04D7-4628-B30C-3148C249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dcterms:created xsi:type="dcterms:W3CDTF">2021-10-25T02:48:00Z</dcterms:created>
  <dcterms:modified xsi:type="dcterms:W3CDTF">2021-10-25T02:48:00Z</dcterms:modified>
</cp:coreProperties>
</file>