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A35C5A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35C5A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35C5A">
              <w:rPr>
                <w:rFonts w:cs="Times New Roman"/>
                <w:b/>
                <w:sz w:val="28"/>
                <w:szCs w:val="28"/>
              </w:rPr>
              <w:t>15</w:t>
            </w:r>
            <w:r w:rsidR="00127089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35C5A">
              <w:rPr>
                <w:rFonts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="00127089">
              <w:rPr>
                <w:rFonts w:cs="Times New Roman"/>
                <w:b/>
                <w:sz w:val="28"/>
                <w:szCs w:val="28"/>
              </w:rPr>
              <w:t>/11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A35C5A">
              <w:rPr>
                <w:rFonts w:cs="Times New Roman"/>
                <w:spacing w:val="-14"/>
                <w:sz w:val="28"/>
                <w:szCs w:val="28"/>
                <w:lang w:val="nl-NL"/>
              </w:rPr>
              <w:t>Dự kỷ niệm 60 năm thành lập trường THCS Phúc Lợi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90AC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F499-05EF-4F1C-BF7A-0DDCA120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2021-11-18T04:42:00Z</dcterms:created>
  <dcterms:modified xsi:type="dcterms:W3CDTF">2021-11-18T04:42:00Z</dcterms:modified>
</cp:coreProperties>
</file>