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4C69">
      <w:pPr>
        <w:pStyle w:val="NormalWeb"/>
        <w:spacing w:line="288" w:lineRule="auto"/>
        <w:ind w:firstLine="720"/>
        <w:jc w:val="center"/>
        <w:outlineLvl w:val="2"/>
        <w:divId w:val="181560964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C3 (Cô Ng Hoa)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81560964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jc w:val="center"/>
              <w:divId w:val="2036398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jc w:val="center"/>
              <w:divId w:val="20566583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jc w:val="center"/>
              <w:divId w:val="5165788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jc w:val="center"/>
              <w:divId w:val="19685134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jc w:val="center"/>
              <w:divId w:val="1315994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jc w:val="center"/>
              <w:divId w:val="7525561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jc w:val="center"/>
              <w:divId w:val="7517749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156096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</w:t>
            </w:r>
            <w:r>
              <w:rPr>
                <w:rStyle w:val="plan-content-pre1"/>
              </w:rPr>
              <w:t>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đình.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mang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n;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lên cao-sang 2 bê</w:t>
            </w:r>
            <w:r>
              <w:rPr>
                <w:rStyle w:val="plan-content-pre1"/>
              </w:rPr>
              <w:t>n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sang ngang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</w:t>
            </w:r>
            <w:r>
              <w:rPr>
                <w:rStyle w:val="plan-content-pre1"/>
              </w:rPr>
              <w:t>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t.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đi: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gót,ch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sau đó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4 hàng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-&gt; 4 hàng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bài hát “Ti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chú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+ĐT 1: O ó o...tr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i” hai tay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đưa ra hai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+ĐT 2: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cánh ò ó o” hai tay sang ngang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+ĐT 3: “ò..p”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ĐT1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+ĐT4: “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đã kh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i”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sang ngang hai tay đưa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+ĐT5: “G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chú bé....hô vang” chân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i,tay sang ngang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+DDT6: “M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hai...hai”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chân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hai tay đá</w:t>
            </w:r>
            <w:r>
              <w:rPr>
                <w:rStyle w:val="plan-content-pre1"/>
              </w:rPr>
              <w:t>nh sang hai bên.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cô giáo: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giáo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Hàng ngày các con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cô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nào?cách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con có yêu quý các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không?Yêu quý thì các con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*Trò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đã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thăm ông bà, đi chơi, xem phi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gia đình.Các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nhà, các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nhà,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khu nhà,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có trong m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phòng.Cách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trang trí ngôi nhà.GD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yêu quí,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(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nhà luôn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).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Bà và cháu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Bông hồng tặng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Bụi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Em cũng là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Làm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Cháu yêu cô thợ dệt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Cháu yêu cô chú công nhân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8156096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ghép 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nhận biết sự khác nhau về số lượng của 2 nhóm, sử dụng đúng từ “nhiều </w:t>
            </w:r>
            <w:r>
              <w:rPr>
                <w:rStyle w:val="plan-content-pre1"/>
                <w:rFonts w:eastAsia="Times New Roman"/>
              </w:rPr>
              <w:lastRenderedPageBreak/>
              <w:t>hơn, ít hơn”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đếm và nhận biết số lượng trong phạm vi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nhóm đối tượng có số lượng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biết, gọi tên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vòng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đò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tặng cô nhân ngày 20-11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trang phục chú 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Ngôi nhà bé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mé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Nhà giáo Việt Nam 20-11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1 số nghê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Về đúng nhà.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nhanh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TCVĐ:Đuổi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-VĐCB: Lăn bóng và di chuyển theo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Nhảy lò cò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64C69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nhảy liên tục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lao công;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;quan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C4; thí ngh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ba; đu quay; tìm nhà;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,ph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bóng;gi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ghép;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C2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 bé;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bán hà</w:t>
            </w:r>
            <w:r>
              <w:rPr>
                <w:rStyle w:val="plan-content-pre1"/>
              </w:rPr>
              <w:t>ng;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</w:rPr>
              <w:t xml:space="preserve">- TCVĐ: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 đi chơi; con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 , lá cây,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C1, C4 trò chơi dân gian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- Quan sát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hoa súng.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Con gà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tác lá chanh.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dáng;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 Ô</w:t>
            </w:r>
            <w:r>
              <w:rPr>
                <w:rStyle w:val="plan-content-pre1"/>
              </w:rPr>
              <w:t xml:space="preserve">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Chơi trò chơi dân gian: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chi chi chành chành.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Vẽ, chơi tự do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khô,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trên sân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*TCVĐ :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bóng tròn to;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ba; đu quay; tìm nhà;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ai nhanh hơn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và ong;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ô tô;Cáo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ba; đu quay; tìm nhà;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,ph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bóng;gi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ghép; đu quay,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vòng; lá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rStyle w:val="plan-content-pre1"/>
              </w:rPr>
              <w:t>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(T1),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, quà lưu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(T2), Làm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nhân ngày 20-11 (T3),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(T4)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Góc thiên nhiên: Chăm sóc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Pha màu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“Quà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”, nhìn vào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các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trong tranh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t</w:t>
            </w:r>
            <w:r>
              <w:rPr>
                <w:rStyle w:val="plan-content-pre1"/>
              </w:rPr>
              <w:t>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và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so sánh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hơn, ít hơn; ghép đôi...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1, 2.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đóng cúc, cách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ba lô, cách đi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ao cá (T1), Xây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chăn nuôi (T2), Làm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nhân ngày Noel (T3), Bé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(T4)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Chăm sóc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Pha màu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Noel,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ch;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“Bông tuy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Trang trí cùng cô, tô màu cây thông noel,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và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các bà</w:t>
            </w:r>
            <w:r>
              <w:rPr>
                <w:rStyle w:val="plan-content-pre1"/>
              </w:rPr>
              <w:t>i hát giáng sinh,t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các hình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tròn, ghép đôi,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hình tam giác,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và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2;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trên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đóng cúc, cách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ba lô, cách đi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8156096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tháo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áo..v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tháo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áo..v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ông già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“TCHT”: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 trang 16.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phòng tránh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TCHT: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 trang 5.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“TCHT”: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 trang 7.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phòng tránh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(h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c...)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 trang 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nguy 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(cư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leo trèo, nghich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i theo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TH: Tô màu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“TCHT”: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 trang 16.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(bàn là,b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đun,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nóng,....)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bài hát: Cháu yêu co chú công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TH: T</w:t>
            </w:r>
            <w:r>
              <w:rPr>
                <w:rStyle w:val="plan-content-pre1"/>
              </w:rPr>
              <w:t>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chú 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( Tr21)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nhau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Bình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8156096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thành viên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của bố mẹ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muốn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rPr>
                <w:rFonts w:eastAsia="Times New Roman"/>
              </w:rPr>
            </w:pPr>
          </w:p>
        </w:tc>
      </w:tr>
      <w:tr w:rsidR="00000000">
        <w:trPr>
          <w:divId w:val="18156096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64C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564C69">
            <w:pPr>
              <w:pStyle w:val="text-center-report"/>
              <w:spacing w:before="0" w:beforeAutospacing="0" w:after="0" w:afterAutospacing="0"/>
              <w:divId w:val="192055690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1524706682"/>
            </w:pPr>
            <w:r>
              <w:t> 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1002002521"/>
            </w:pPr>
            <w:r>
              <w:t> 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1883322819"/>
            </w:pPr>
            <w:r>
              <w:t> 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231624435"/>
            </w:pPr>
            <w:r>
              <w:t> 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1884976991"/>
            </w:pPr>
            <w:r>
              <w:t> 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577441481"/>
            </w:pPr>
            <w:r>
              <w:t> </w:t>
            </w:r>
          </w:p>
          <w:p w:rsidR="00000000" w:rsidRDefault="00564C69">
            <w:pPr>
              <w:rPr>
                <w:rFonts w:eastAsia="Times New Roman"/>
              </w:rPr>
            </w:pPr>
          </w:p>
          <w:p w:rsidR="00000000" w:rsidRDefault="00564C69">
            <w:pPr>
              <w:pStyle w:val="text-center-report"/>
              <w:spacing w:before="0" w:beforeAutospacing="0" w:after="0" w:afterAutospacing="0"/>
              <w:divId w:val="136875202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1067459390"/>
            </w:pPr>
            <w:r>
              <w:lastRenderedPageBreak/>
              <w:t> 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42294709"/>
            </w:pPr>
            <w:r>
              <w:t> </w:t>
            </w:r>
          </w:p>
          <w:p w:rsidR="00000000" w:rsidRDefault="00564C69">
            <w:pPr>
              <w:pStyle w:val="line-dots"/>
              <w:spacing w:before="0" w:beforeAutospacing="0" w:after="0" w:afterAutospacing="0"/>
              <w:divId w:val="348020813"/>
            </w:pPr>
            <w:r>
              <w:t> </w:t>
            </w:r>
          </w:p>
          <w:p w:rsidR="00000000" w:rsidRDefault="00564C69">
            <w:pPr>
              <w:rPr>
                <w:rFonts w:eastAsia="Times New Roman"/>
              </w:rPr>
            </w:pPr>
          </w:p>
        </w:tc>
      </w:tr>
    </w:tbl>
    <w:p w:rsidR="00000000" w:rsidRDefault="00564C6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64C69"/>
    <w:rsid w:val="005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6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66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020025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833228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31624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849769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77441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687520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9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2294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48020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2022-11-02T03:49:00Z</dcterms:created>
  <dcterms:modified xsi:type="dcterms:W3CDTF">2022-11-02T03:49:00Z</dcterms:modified>
</cp:coreProperties>
</file>