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1E98">
      <w:pPr>
        <w:pStyle w:val="NormalWeb"/>
        <w:spacing w:line="288" w:lineRule="auto"/>
        <w:ind w:firstLine="720"/>
        <w:jc w:val="center"/>
        <w:outlineLvl w:val="2"/>
        <w:divId w:val="185345175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A2( Cô Vinh)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85345175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divId w:val="5535882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jc w:val="center"/>
              <w:divId w:val="13362227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jc w:val="center"/>
              <w:divId w:val="15958219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jc w:val="center"/>
              <w:divId w:val="11389148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jc w:val="center"/>
              <w:divId w:val="17067594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jc w:val="center"/>
              <w:divId w:val="4270405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divId w:val="17898854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theo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vòng tròn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theo bài hát: Bác đưa thư vui tính</w:t>
            </w:r>
            <w:r>
              <w:rPr>
                <w:rStyle w:val="plan-content-pre1"/>
              </w:rPr>
              <w:t xml:space="preserve"> 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 + Tay: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khu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>u tay, ngón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vai - lên cao. 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90o + Chân: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 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20/11 -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bé thích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khí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hàng ngày.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 MT71,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8534517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Trèo lên xuống thang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Thơ: 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Ném trúng đích nằm ngang. - TCVĐ: Bẫy chuột.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“Bác sĩ chim”.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Bật chụm tách chân qua 7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8534517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với số lượng 7. Nhận biết số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nhóm có số lượng 7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8, nhận biết các nhóm có số lượng là 8. Nhận biết số 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Thêm - bớt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số lượng 8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sản phẩm của 1 số nghề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nghề truyền thống của địa phương.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cô công nhân vệ sinh môi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các loại vải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cái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Lớn lên cháu lái máy cầy - Nghe hát : Đi cấy - TC: Nghe tiếng hát,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Tập tô chữ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Bàn tay cô giáo - Nghe hát : Anh phi công ơi - TCAN: nhìn tranh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cái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hình ảnh các nghề trong hoạ báo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 (Về ngày 20/11)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1E9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túi vải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phi công,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viên hàng không,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 chân,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đi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</w:t>
            </w:r>
            <w:r>
              <w:rPr>
                <w:rStyle w:val="plan-content-pre1"/>
              </w:rPr>
              <w:t xml:space="preserve">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boling…)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nông,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tung bóng,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bóng đôi,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rStyle w:val="plan-content-pre1"/>
              </w:rPr>
              <w:t xml:space="preserve"> 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3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qua 7 ô,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kinh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boling…)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cò, ném bóng </w:t>
            </w:r>
            <w:r>
              <w:rPr>
                <w:rStyle w:val="plan-content-pre1"/>
              </w:rPr>
              <w:t>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kéo co,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1);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tài ba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2), Làm hoa,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20/11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3); Trang trí làm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thiên nhiên: Chăm sóc cây,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lá cây,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lá cây, ép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bé làm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may, nhà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trang, salon tóc, phân nhóm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ngh</w:t>
            </w:r>
            <w:r>
              <w:rPr>
                <w:rStyle w:val="plan-content-pre1"/>
              </w:rPr>
              <w:t>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chia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7, chơi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sách “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i”,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u”;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t”,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;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 Ư;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trang trí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tô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hai anh em,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 khi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ăn,</w:t>
            </w:r>
            <w:r>
              <w:rPr>
                <w:rStyle w:val="plan-content-pre1"/>
              </w:rPr>
              <w:t xml:space="preserve"> không rơi vãi,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khi ho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bàn ăn cùng cô.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c,.....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thơ: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tâm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n: Lòng tham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chăn nuôi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4: Tách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vi 7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E, Ê 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Làm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sĩ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thôi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xương cá,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thư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hôm qua, hôm nay và ngày mai qua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hàng ngày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R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nh r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nh ràng ràng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áo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Hát theo hình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bé không nên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ụ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và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ra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các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Sản phẩm một số nghề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tìm hiểu nghề truyền thống của địa phương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với ngày nhà giáo Việt Nam (20/11)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công nhân vệ sinh môi trường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Các loại vải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rPr>
                <w:rFonts w:eastAsia="Times New Roman"/>
              </w:rPr>
            </w:pPr>
          </w:p>
        </w:tc>
      </w:tr>
      <w:tr w:rsidR="00000000">
        <w:trPr>
          <w:divId w:val="18534517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1E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BC1E98">
            <w:pPr>
              <w:pStyle w:val="text-center-report"/>
              <w:spacing w:before="0" w:beforeAutospacing="0" w:after="0" w:afterAutospacing="0"/>
              <w:divId w:val="3042179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4090045"/>
            </w:pPr>
            <w:r>
              <w:lastRenderedPageBreak/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1191066626"/>
            </w:pPr>
            <w:r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582497212"/>
            </w:pPr>
            <w:r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1354306962"/>
            </w:pPr>
            <w:r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320158165"/>
            </w:pPr>
            <w:r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1187603105"/>
            </w:pPr>
            <w:r>
              <w:t> </w:t>
            </w:r>
          </w:p>
          <w:p w:rsidR="00000000" w:rsidRDefault="00BC1E98">
            <w:pPr>
              <w:rPr>
                <w:rFonts w:eastAsia="Times New Roman"/>
              </w:rPr>
            </w:pPr>
          </w:p>
          <w:p w:rsidR="00000000" w:rsidRDefault="00BC1E98">
            <w:pPr>
              <w:pStyle w:val="text-center-report"/>
              <w:spacing w:before="0" w:beforeAutospacing="0" w:after="0" w:afterAutospacing="0"/>
              <w:divId w:val="192402958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637806535"/>
            </w:pPr>
            <w:r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75173476"/>
            </w:pPr>
            <w:r>
              <w:t> </w:t>
            </w:r>
          </w:p>
          <w:p w:rsidR="00000000" w:rsidRDefault="00BC1E98">
            <w:pPr>
              <w:pStyle w:val="line-dots"/>
              <w:spacing w:before="0" w:beforeAutospacing="0" w:after="0" w:afterAutospacing="0"/>
              <w:divId w:val="793255650"/>
            </w:pPr>
            <w:r>
              <w:t> </w:t>
            </w:r>
          </w:p>
          <w:p w:rsidR="00000000" w:rsidRDefault="00BC1E98">
            <w:pPr>
              <w:rPr>
                <w:rFonts w:eastAsia="Times New Roman"/>
              </w:rPr>
            </w:pPr>
          </w:p>
        </w:tc>
      </w:tr>
    </w:tbl>
    <w:p w:rsidR="00000000" w:rsidRDefault="00BC1E9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1E98"/>
    <w:rsid w:val="00B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7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91066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82497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54306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201581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87603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2402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5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5173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93255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2022-11-01T10:00:00Z</dcterms:created>
  <dcterms:modified xsi:type="dcterms:W3CDTF">2022-11-01T10:00:00Z</dcterms:modified>
</cp:coreProperties>
</file>