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6" w:rsidRPr="003D3A76" w:rsidRDefault="003D3A76" w:rsidP="003D3A76">
      <w:pPr>
        <w:shd w:val="clear" w:color="auto" w:fill="FBFBFB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171717"/>
          <w:spacing w:val="-15"/>
          <w:kern w:val="36"/>
          <w:sz w:val="41"/>
          <w:szCs w:val="41"/>
        </w:rPr>
      </w:pPr>
      <w:r w:rsidRPr="003D3A76">
        <w:rPr>
          <w:rFonts w:ascii="Times New Roman" w:eastAsia="Times New Roman" w:hAnsi="Times New Roman" w:cs="Times New Roman"/>
          <w:b/>
          <w:color w:val="171717"/>
          <w:spacing w:val="-15"/>
          <w:kern w:val="36"/>
          <w:sz w:val="41"/>
          <w:szCs w:val="41"/>
        </w:rPr>
        <w:t>Những điều cần biết về bệnh quai bị</w:t>
      </w:r>
    </w:p>
    <w:p w:rsidR="003D3A76" w:rsidRPr="003D3A76" w:rsidRDefault="003D3A76" w:rsidP="003D3A76">
      <w:pPr>
        <w:shd w:val="clear" w:color="auto" w:fill="FBFBFB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171717"/>
          <w:spacing w:val="-15"/>
          <w:kern w:val="36"/>
          <w:sz w:val="41"/>
          <w:szCs w:val="41"/>
        </w:rPr>
      </w:pPr>
      <w:bookmarkStart w:id="0" w:name="_GoBack"/>
      <w:bookmarkEnd w:id="0"/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b/>
          <w:bCs/>
          <w:color w:val="111000"/>
          <w:sz w:val="30"/>
          <w:szCs w:val="30"/>
        </w:rPr>
        <w:t>Bệnh quai bị là gì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Bệnh quai bị (tiếng Anh: Mumps) là một bệnh truyền nhiễm cấp tính, do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vi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rút quai bị gây ra. Đặc điểm của bệnh là sưng đau tuyến nước bọt (chủ yếu là 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), đôi khi kèm theo viêm tuyến sinh dục và một số cơ quan khác của cơ thể.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b/>
          <w:bCs/>
          <w:color w:val="111000"/>
          <w:sz w:val="30"/>
          <w:szCs w:val="30"/>
        </w:rPr>
        <w:t>Nguyên nhân gây bệnh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- Nguyên nhân gây bệnh là do bị nhiễm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vi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rút quai bị mà cơ thể chưa có miễn dịch với loại vi rút này.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Đường lây chủ yếu của bệnh quai bị là đường hô hấp như: ho, hắt hơi, nước bọt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,…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Vì vậy, đối tượng dễ mắc bệnh quai bị gồm: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Tiếp xúc với người bị quai bị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Chưa mắc bệnh quai bị lần nào.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Chưa chủng ngừa bệnh quai bị.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b/>
          <w:bCs/>
          <w:color w:val="111000"/>
          <w:sz w:val="30"/>
          <w:szCs w:val="30"/>
        </w:rPr>
        <w:t>Triệu chứng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Biểu hiện chủ yếu của bệnh là sốt và sưng, đau một hoặc nhiều tuyến nước bọt và thường qua 4 giai đoạn: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- Giai đoạn ủ bệnh: sau khi nhiễm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vi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rút quai bị 1 - 4 tuần, bệnh thường không có triệu chứng.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Giai đoạn khởi phát bệnh: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+ Bệnh nhân thấy khó chịu, sốt nhẹ, nhức đầu, đau họng, khó nuốt, đau trước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, khó nhai (xuất hiện khoảng 1-2 ngày).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+ Sau đó 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to dần và đau nhức, đau tăng lên khi nhai.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Giai đoạn toàn phát: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Bệnh nhân bị sốt cao 39 - 40 độ C trong 3-4 ngày, chảy nước bọt.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+ Một bên má (Tuyến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) bắt đầu sưng to và đau nhức, sau 1 hoặc vài ngày lan sang bên đối diện.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Da chổ sưng đau không tấy đỏ, không nóng, không hóa mủ, ấn vào có cảm giác đàn hồi, họng hơi đỏ.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lastRenderedPageBreak/>
        <w:t>- Giai đoạn hồi phục: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+ Sau 1 tuần, 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giảm đau và nhỏ dần.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Các triệu chứng đau họng, khó nuốt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,…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giảm và từ từ khỏi hẳn.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b/>
          <w:bCs/>
          <w:color w:val="111000"/>
          <w:sz w:val="30"/>
          <w:szCs w:val="30"/>
        </w:rPr>
        <w:t>Biến chứng của bệnh quai bị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- Viêm tinh hoàn và mào tinh hoàn ở nam giới: gặp ở thanh thiếu niên sau tuổi dậy thì với tỷ lệ 25-40%, thường xảy ra sau đợt viêm 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khoảng 7-10 ngày nhưng cũng có thể xuất hiện trước hoặc đồng thời.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Bệnh nhân sốt cao, ớn lạnh, đau đầu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,…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Tinh hoàn sưng to, đau, mào tinh căng phù, thường hiện tượng viêm chỉ ở một bên. Tình trạng viêm và sốt kéo dài 3-7 ngày, sau đó giảm sốt, tinh hoàn giảm sưng đau và dần dần hồi phục.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Có 30 -40% bệnh nhân nam teo tinh hoàn sau 2 – 4 tháng mắc bệnh nhưng hiếm khi vô sinh thật sự.</w:t>
      </w:r>
      <w:proofErr w:type="gramEnd"/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Ở nữ giới: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Viêm buồng trứng: Có tỷ lệ 7% ở nữ sau tuổi dậy thì.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+ Những phụ nữ bị quai bị trong 3 tháng đầu của thai kỳ có thể gây sẩy thai hoặc sinh con dị dạng, trong 3 tháng cuối của thai kỳ có thể sinh non hoặc thai chết lưu.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Ngoài ra còn có các biến chứng khác như: Viêm màng não, viêm não, viêm tụy cấp, viêm cơ tim, viêm tuyến giáp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,…</w:t>
      </w:r>
      <w:proofErr w:type="gramEnd"/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b/>
          <w:bCs/>
          <w:color w:val="111000"/>
          <w:sz w:val="30"/>
          <w:szCs w:val="30"/>
        </w:rPr>
        <w:t>Điều trị bệnh quai bị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- Người bệnh nên cách ly đến khi hết sưng 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Hiện chưa có thuốc điều trị đặc hiệu bệnh quai bị.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- Điều trị triệu chứng: Cho người bệnh nghỉ ngơi, vệ sinh răng miệng.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Dùng thuốc hạ nhiệt, giảm đau, kháng viêm.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Dùng corticoid nếu có biến chứng viêm tinh hoàn.</w:t>
      </w:r>
      <w:proofErr w:type="gramEnd"/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b/>
          <w:bCs/>
          <w:color w:val="111000"/>
          <w:sz w:val="30"/>
          <w:szCs w:val="30"/>
        </w:rPr>
        <w:t>Phòng ngừa bệnh quai bị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- Tiêm ngừa bệnh quai bị: tiêm vắc xin 3 trong 1 (sởi-quai bị-rubella) cho trẻ 2 lần: lần 1 lúc 12-15 tháng tuổi, lần 2 lúc 4-6 tuổi.</w:t>
      </w:r>
    </w:p>
    <w:p w:rsidR="003D3A76" w:rsidRPr="003D3A76" w:rsidRDefault="003D3A76" w:rsidP="003D3A76">
      <w:pPr>
        <w:shd w:val="clear" w:color="auto" w:fill="FBFBFB"/>
        <w:spacing w:after="150" w:line="315" w:lineRule="atLeast"/>
        <w:rPr>
          <w:rFonts w:ascii="Times New Roman" w:eastAsia="Times New Roman" w:hAnsi="Times New Roman" w:cs="Times New Roman"/>
          <w:color w:val="111000"/>
          <w:sz w:val="30"/>
          <w:szCs w:val="30"/>
        </w:rPr>
      </w:pPr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- Cách ly người bệnh: bệnh nhân được cách ly cho đến khi tuyến mang </w:t>
      </w:r>
      <w:proofErr w:type="gramStart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>tai</w:t>
      </w:r>
      <w:proofErr w:type="gramEnd"/>
      <w:r w:rsidRPr="003D3A76">
        <w:rPr>
          <w:rFonts w:ascii="Times New Roman" w:eastAsia="Times New Roman" w:hAnsi="Times New Roman" w:cs="Times New Roman"/>
          <w:color w:val="111000"/>
          <w:sz w:val="30"/>
          <w:szCs w:val="30"/>
        </w:rPr>
        <w:t xml:space="preserve"> hết sưng nhằm hạn chế lây lan bệnh cho người khác.</w:t>
      </w:r>
    </w:p>
    <w:p w:rsidR="00C82F01" w:rsidRPr="003D3A76" w:rsidRDefault="001D2D91">
      <w:pPr>
        <w:rPr>
          <w:sz w:val="30"/>
          <w:szCs w:val="30"/>
        </w:rPr>
      </w:pPr>
    </w:p>
    <w:sectPr w:rsidR="00C82F01" w:rsidRPr="003D3A76" w:rsidSect="003D3A76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3D3A76"/>
    <w:rsid w:val="001D2D91"/>
    <w:rsid w:val="003D3A76"/>
    <w:rsid w:val="00554E55"/>
    <w:rsid w:val="00D5293C"/>
    <w:rsid w:val="00F4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55"/>
  </w:style>
  <w:style w:type="paragraph" w:styleId="Heading1">
    <w:name w:val="heading 1"/>
    <w:basedOn w:val="Normal"/>
    <w:link w:val="Heading1Char"/>
    <w:uiPriority w:val="9"/>
    <w:qFormat/>
    <w:rsid w:val="003D3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3A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D3A7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3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3A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D3A7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6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9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5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2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1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1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7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89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8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98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5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1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3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1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5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1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3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39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2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2019-12-18T08:32:00Z</dcterms:created>
  <dcterms:modified xsi:type="dcterms:W3CDTF">2019-12-18T08:32:00Z</dcterms:modified>
</cp:coreProperties>
</file>