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768E">
      <w:pPr>
        <w:pStyle w:val="NormalWeb"/>
        <w:spacing w:line="288" w:lineRule="auto"/>
        <w:ind w:firstLine="720"/>
        <w:jc w:val="center"/>
        <w:outlineLvl w:val="2"/>
        <w:divId w:val="125620908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BÉ 3-4 TUỔI - LỚP C4 (B.Hằng)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25620908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jc w:val="center"/>
              <w:divId w:val="13832132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jc w:val="center"/>
              <w:divId w:val="8490304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jc w:val="center"/>
              <w:divId w:val="13649877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jc w:val="center"/>
              <w:divId w:val="4240385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jc w:val="center"/>
              <w:divId w:val="20666406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jc w:val="center"/>
              <w:divId w:val="2499692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jc w:val="center"/>
              <w:divId w:val="13982824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25620908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p), chào cô giáo;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vào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dép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</w:t>
            </w:r>
            <w:r>
              <w:rPr>
                <w:rStyle w:val="plan-content-pre1"/>
              </w:rPr>
              <w:t xml:space="preserve">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 và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dân vũ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tròn theo bài hát “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chân tình nguy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bài hát “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ơi”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 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theo</w:t>
            </w:r>
            <w:r>
              <w:rPr>
                <w:rStyle w:val="plan-content-pre1"/>
              </w:rPr>
              <w:t xml:space="preserve"> bài hát “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trái tim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 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tay,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chéo 2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sang ngang.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thân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ca,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kì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Trèo lên xuống ghế - Đập bắt bóng với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r>
              <w:rPr>
                <w:rStyle w:val="plan-content-pre1"/>
              </w:rPr>
              <w:t>Ôn: Trèo lên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-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Em yêu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Bác hồ với các cháu thiếu nhi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r>
              <w:rPr>
                <w:rStyle w:val="plan-content-pre1"/>
              </w:rPr>
              <w:t>Em yêu Long Biên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lá cờ Việt Nam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trang trí ảnh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ao cá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sự khác nhau về độ lớn của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ngày và đêm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nhân biết phân biệt phía trước – phía sau, phía trên – phía dưới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Em yêu Hà Nội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Bảo Trọng)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Em yêu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hòa bình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Nguyễn Đức Tòan)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Ảnh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Nhớ ơn Bác ( Phan Huỳnh Điểu)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Bác Hồ </w:t>
            </w:r>
            <w:r>
              <w:rPr>
                <w:rStyle w:val="plan-content-pre1"/>
                <w:rFonts w:eastAsia="Times New Roman"/>
              </w:rPr>
              <w:lastRenderedPageBreak/>
              <w:t>Người cho em tất cả ( Hoàng Long- Hoàng Lân)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r>
              <w:rPr>
                <w:rStyle w:val="plan-content-pre1"/>
              </w:rPr>
              <w:lastRenderedPageBreak/>
              <w:t>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Ai ngoan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góc khoa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vui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</w:t>
            </w:r>
            <w:r>
              <w:rPr>
                <w:rStyle w:val="plan-content-pre1"/>
              </w:rPr>
              <w:t>Đ: Thi xem ai nhanh,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dây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góc khoa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vui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Thi xem ai nhanh,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cò...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quanh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Nhu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m màu cho ho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Ai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hơn, Phân nhóm, Ai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đúng,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bóng,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vòng,...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dây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Khám phá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(T1); Xây mô hình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 (T2).Xây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quanh Lăng Bác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(tư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màu,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i,x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p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5, Ôn các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tìm hình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ôn to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o: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tô màu,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trang trí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cài khuy áo,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bình vào chai,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cam, chơi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hơi, ngáp.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có trong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hàng.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không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e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ca dao-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p các góc chơi, lau lá cây.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bài thơ,bài hát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bài “ Yêu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bài thơ,bài hát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át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bài “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ơn Bác”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</w:t>
            </w:r>
            <w:r>
              <w:rPr>
                <w:rStyle w:val="Strong"/>
                <w:rFonts w:eastAsia="Times New Roman"/>
              </w:rPr>
              <w:t>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Quê hương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khu vui chơi ở Hà Nội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Bác Hồ kính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Tổng kết năm học Liên hoan 1/6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rPr>
                <w:rFonts w:eastAsia="Times New Roman"/>
              </w:rPr>
            </w:pPr>
          </w:p>
        </w:tc>
      </w:tr>
      <w:tr w:rsidR="00000000">
        <w:trPr>
          <w:divId w:val="125620908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76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97768E">
            <w:pPr>
              <w:pStyle w:val="text-center-report"/>
              <w:spacing w:before="0" w:beforeAutospacing="0" w:after="0" w:afterAutospacing="0"/>
              <w:divId w:val="56114230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7768E">
            <w:pPr>
              <w:rPr>
                <w:rFonts w:eastAsia="Times New Roman"/>
              </w:rPr>
            </w:pP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97768E">
            <w:pPr>
              <w:pStyle w:val="text-center-report"/>
              <w:spacing w:before="0" w:beforeAutospacing="0" w:after="0" w:afterAutospacing="0"/>
              <w:divId w:val="69107967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97768E">
            <w:pPr>
              <w:rPr>
                <w:rFonts w:eastAsia="Times New Roman"/>
              </w:rPr>
            </w:pPr>
          </w:p>
          <w:p w:rsidR="00000000" w:rsidRDefault="009776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97768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7768E"/>
    <w:rsid w:val="0097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1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3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96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4501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2023-05-08T04:04:00Z</dcterms:created>
  <dcterms:modified xsi:type="dcterms:W3CDTF">2023-05-08T04:04:00Z</dcterms:modified>
</cp:coreProperties>
</file>