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6D74">
      <w:pPr>
        <w:pStyle w:val="NormalWeb"/>
        <w:spacing w:line="288" w:lineRule="auto"/>
        <w:ind w:firstLine="720"/>
        <w:jc w:val="center"/>
        <w:outlineLvl w:val="2"/>
        <w:divId w:val="85315394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B1, Nguyễn Phương Thanh , Nguyễn Thị Thanh Hoa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85315394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divId w:val="115668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jc w:val="center"/>
              <w:divId w:val="9374925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Phương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jc w:val="center"/>
              <w:divId w:val="49886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Thanh Hoa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jc w:val="center"/>
              <w:divId w:val="14536740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Phương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jc w:val="center"/>
              <w:divId w:val="9504335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Thanh Hoa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jc w:val="center"/>
              <w:divId w:val="4020274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Phương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divId w:val="18141052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Nôen và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Con cào cào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Chân sáo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QĐND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Noen,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cách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kêu….c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nhà và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sóng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noen,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ch…đ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22/12, ngày noel,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Gà trống, mèo con và cún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gà- chú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bộ đội và cơn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Chuyển quà theo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Đêm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We wish you a merry Christmas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Vui cùng ông già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r>
              <w:rPr>
                <w:rStyle w:val="plan-content-pre1"/>
              </w:rPr>
              <w:lastRenderedPageBreak/>
              <w:t>DH: Chim</w:t>
            </w:r>
            <w:r>
              <w:rPr>
                <w:rStyle w:val="plan-content-pre1"/>
              </w:rPr>
              <w:t xml:space="preserve"> chích bông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NH:Em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Tai ai tinh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 MT52,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8531539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dài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4, nhận biết chữ số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số lượng 4 thành 2 phần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Nhà bé nuôi con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Động vật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Ngày QĐNDVN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bằng bàn tay và bàn chân 3-4 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Dê con nhanh trí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ngoằn ngoèo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kiến nó đi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bằng gót chân, đi khụy gối, đi lùi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Cắt, gấp, dán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nét và tô màu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con côn trùng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Xé, dán vảy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6D7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In bàn tay tạo hình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Tranh các con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nuôi trong GĐ;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quan sát tranh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Bé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khéo;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dưng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(T1);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ng(T2);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i(T3); </w:t>
            </w:r>
            <w:r>
              <w:rPr>
                <w:rStyle w:val="plan-content-pre1"/>
              </w:rPr>
              <w:t>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sông: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y (T4): Làm món ăn bé thích ( T5)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tách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Cua bò ngang.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thiên nhiên;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trong c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Kéo phecmotua,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Dê con nhanh trí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domino, ô ăn quan.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dao:Vè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lá cây. Hát:Chú voi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đôn,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mèo con và cún con, chú gà- chú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>, dán, in,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bàn tay……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6D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rPr>
                <w:rFonts w:eastAsia="Times New Roman"/>
              </w:rPr>
            </w:pPr>
          </w:p>
        </w:tc>
      </w:tr>
      <w:tr w:rsidR="00000000">
        <w:trPr>
          <w:divId w:val="85315394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D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FD6D74">
            <w:pPr>
              <w:pStyle w:val="text-center-report"/>
              <w:spacing w:before="0" w:beforeAutospacing="0" w:after="0" w:afterAutospacing="0"/>
              <w:divId w:val="126957851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1159810887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1962881317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1895504915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275796124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175655527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1567763177"/>
            </w:pPr>
            <w:r>
              <w:t> </w:t>
            </w:r>
          </w:p>
          <w:p w:rsidR="00000000" w:rsidRDefault="00FD6D74">
            <w:pPr>
              <w:rPr>
                <w:rFonts w:eastAsia="Times New Roman"/>
              </w:rPr>
            </w:pPr>
          </w:p>
          <w:p w:rsidR="00000000" w:rsidRDefault="00FD6D74">
            <w:pPr>
              <w:pStyle w:val="text-center-report"/>
              <w:spacing w:before="0" w:beforeAutospacing="0" w:after="0" w:afterAutospacing="0"/>
              <w:divId w:val="124545439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275916947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302544712"/>
            </w:pPr>
            <w:r>
              <w:t> </w:t>
            </w:r>
          </w:p>
          <w:p w:rsidR="00000000" w:rsidRDefault="00FD6D74">
            <w:pPr>
              <w:pStyle w:val="line-dots"/>
              <w:spacing w:before="0" w:beforeAutospacing="0" w:after="0" w:afterAutospacing="0"/>
              <w:divId w:val="1104225682"/>
            </w:pPr>
            <w:r>
              <w:t> </w:t>
            </w:r>
          </w:p>
          <w:p w:rsidR="00000000" w:rsidRDefault="00FD6D74">
            <w:pPr>
              <w:rPr>
                <w:rFonts w:eastAsia="Times New Roman"/>
              </w:rPr>
            </w:pPr>
          </w:p>
        </w:tc>
      </w:tr>
    </w:tbl>
    <w:p w:rsidR="00000000" w:rsidRDefault="00FD6D7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6D74"/>
    <w:rsid w:val="00F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5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08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628813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955049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75796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565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677631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45454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9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02544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04225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4103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2022-12-06T09:52:00Z</dcterms:created>
  <dcterms:modified xsi:type="dcterms:W3CDTF">2022-12-06T09:52:00Z</dcterms:modified>
</cp:coreProperties>
</file>