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4011">
      <w:pPr>
        <w:pStyle w:val="NormalWeb"/>
        <w:spacing w:line="288" w:lineRule="auto"/>
        <w:ind w:firstLine="720"/>
        <w:jc w:val="center"/>
        <w:outlineLvl w:val="2"/>
        <w:divId w:val="40018269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40018269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divId w:val="16651596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jc w:val="center"/>
              <w:divId w:val="17276744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28/11 đến 02/12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jc w:val="center"/>
              <w:divId w:val="17002306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jc w:val="center"/>
              <w:divId w:val="4201776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jc w:val="center"/>
              <w:divId w:val="122718796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jc w:val="center"/>
              <w:divId w:val="6654167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divId w:val="19887840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sk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và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giáo,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ơn,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p …(MT 67)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và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ngăn t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có ký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(dép) lên giá),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đi,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y(dép).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nơ (MT 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vòng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- Tay: sang ngang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Co chân, chân vuông góc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Cúi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tay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ngón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đình: (tr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 là các con thú cưng)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cách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khi nhìn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t,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cá, rau-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món ăn đó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có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ăn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(MT 10)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gi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nuôi trong gia đình qua tr</w:t>
            </w:r>
            <w:r>
              <w:rPr>
                <w:rStyle w:val="plan-content-pre1"/>
              </w:rPr>
              <w:t xml:space="preserve">anh,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nh, băng hình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Cách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m… Phân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theo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(môi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Cô và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thành l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QĐNDVN. Côn</w:t>
            </w:r>
            <w:r>
              <w:rPr>
                <w:rStyle w:val="plan-content-pre1"/>
              </w:rPr>
              <w:t>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và nơi làm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chào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nhân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.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ngh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</w:t>
            </w:r>
            <w:r>
              <w:rPr>
                <w:rStyle w:val="plan-content-pre1"/>
              </w:rPr>
              <w:lastRenderedPageBreak/>
              <w:t>xã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băng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giáng sinh.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trang trí,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</w:t>
            </w:r>
            <w:r>
              <w:rPr>
                <w:rStyle w:val="plan-content-pre1"/>
              </w:rPr>
              <w:t>gày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Hát múa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giáng sinh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Thương con mèo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Chú mèo trèo cây cau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Cá vàng bơi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 : Chú ếch con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âm 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hát: Chú bộ đội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Màu áo chú bộ đội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Tiếng hát ở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Dạy hát: Voi làm xiếc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Nghe hát: Chú Voi con ở Bản Đôn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</w:t>
            </w:r>
            <w:r>
              <w:rPr>
                <w:rStyle w:val="plan-content-pre1"/>
                <w:rFonts w:eastAsia="Times New Roman"/>
              </w:rPr>
              <w:t>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Kìa con bướm vàng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Chị ong nâu và em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Vận động theo tiết tấu nhanh chậm của âm nhạc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</w:p>
        </w:tc>
      </w:tr>
      <w:tr w:rsidR="00000000">
        <w:trPr>
          <w:divId w:val="4001826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số chữ 3, nhóm đối tượng trong phạm vi 3 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3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xếp xen kẽ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độ lớn hai đồ vật (to hơn – nhỏ hơn)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</w:t>
            </w:r>
            <w:r>
              <w:rPr>
                <w:b/>
                <w:bCs/>
              </w:rPr>
              <w:t>án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chiều dài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thú cưng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con vật sống dưới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chú bộ đội em yêu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đón Noel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côn trùng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tiến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Rong và cá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bóng về phía trước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Bác Gấu đen và hai chú thỏ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ziczac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con gà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ếch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tạo hình con chim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bộ lông cừu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314011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con vật bé thích ( con bướm)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r>
              <w:rPr>
                <w:rStyle w:val="plan-content-pre1"/>
              </w:rPr>
              <w:t xml:space="preserve">* Quan sát: con chó- con mèo;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tư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QĐNDVN;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i;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trang trí ngày Noel;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 rau; Cây thông noel; Quan sát cá vàng;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(MT 44)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</w:t>
            </w:r>
            <w:r>
              <w:rPr>
                <w:rStyle w:val="plan-content-pre1"/>
              </w:rPr>
              <w:t>Đ: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dáng;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mưa; Đàn gà con;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ba; Ai nhanh hơn;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quà;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Chuy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bóng;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nào nhanh hơn; Chi chi chành chành; R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nh r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nh ràng rang; Mèo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</w:t>
            </w:r>
            <w:r>
              <w:rPr>
                <w:rStyle w:val="Strong"/>
                <w:rFonts w:eastAsia="Times New Roman"/>
              </w:rPr>
              <w:t>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cho thú cưng 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dươi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Trang trí cây thông giáng sinh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Xây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chăn nuôi ( T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chơi đóng vai: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noel cho bé (CB: cây thông noel,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quà,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trang trí,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chúc giáng sinh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trang trí, các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quà và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noel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cá, tôm, 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trai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chăn nuôi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các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</w:t>
            </w:r>
            <w:r>
              <w:rPr>
                <w:rStyle w:val="plan-content-pre1"/>
              </w:rPr>
              <w:t>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xám, Cáo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Bác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đen và hai chú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làm phi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hình, so sánh to hơn –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ơn,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nhóm có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doanh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trang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chăn nuôi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Trang trí cây thông noel,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gói quà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– xé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n, xé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thành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(MT 79)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ngày 22/12 và ngày giáng sinh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–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–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Xúc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bát –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cô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bàn sau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ăn.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 (MT 11)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Hào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Chú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xám, Cáo,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 gà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Giáng sinh và 22/12: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đôi, Màu áo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Jinger bell,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con thú cưng, con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con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cây thông,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</w:t>
            </w:r>
            <w:r>
              <w:rPr>
                <w:rStyle w:val="plan-content-pre1"/>
              </w:rPr>
              <w:t>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BT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Kidsmat, phòng đàn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3140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rPr>
                <w:rFonts w:eastAsia="Times New Roman"/>
              </w:rPr>
            </w:pPr>
          </w:p>
        </w:tc>
      </w:tr>
      <w:tr w:rsidR="00000000">
        <w:trPr>
          <w:divId w:val="40018269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314011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314011">
            <w:pPr>
              <w:pStyle w:val="text-center-report"/>
              <w:spacing w:before="0" w:beforeAutospacing="0" w:after="0" w:afterAutospacing="0"/>
              <w:divId w:val="135923524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591275907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1423526918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535696277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1254053679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1065643755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1621834420"/>
            </w:pPr>
            <w:r>
              <w:t> </w:t>
            </w:r>
          </w:p>
          <w:p w:rsidR="00000000" w:rsidRDefault="00314011">
            <w:pPr>
              <w:rPr>
                <w:rFonts w:eastAsia="Times New Roman"/>
              </w:rPr>
            </w:pPr>
          </w:p>
          <w:p w:rsidR="00000000" w:rsidRDefault="00314011">
            <w:pPr>
              <w:pStyle w:val="text-center-report"/>
              <w:spacing w:before="0" w:beforeAutospacing="0" w:after="0" w:afterAutospacing="0"/>
              <w:divId w:val="929117937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1618946601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218171450"/>
            </w:pPr>
            <w:r>
              <w:t> </w:t>
            </w:r>
          </w:p>
          <w:p w:rsidR="00000000" w:rsidRDefault="00314011">
            <w:pPr>
              <w:pStyle w:val="line-dots"/>
              <w:spacing w:before="0" w:beforeAutospacing="0" w:after="0" w:afterAutospacing="0"/>
              <w:divId w:val="760954701"/>
            </w:pPr>
            <w:r>
              <w:t> </w:t>
            </w:r>
          </w:p>
          <w:p w:rsidR="00000000" w:rsidRDefault="00314011">
            <w:pPr>
              <w:rPr>
                <w:rFonts w:eastAsia="Times New Roman"/>
              </w:rPr>
            </w:pPr>
          </w:p>
        </w:tc>
      </w:tr>
    </w:tbl>
    <w:p w:rsidR="00000000" w:rsidRDefault="00314011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14011"/>
    <w:rsid w:val="0031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97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1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5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75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4235269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356962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2540536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0656437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21834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9291179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66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181714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609547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1435</Words>
  <Characters>5353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2022-12-07T01:52:00Z</dcterms:created>
  <dcterms:modified xsi:type="dcterms:W3CDTF">2022-12-07T01:52:00Z</dcterms:modified>
</cp:coreProperties>
</file>