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A1F6E">
      <w:pPr>
        <w:pStyle w:val="NormalWeb"/>
        <w:spacing w:line="288" w:lineRule="auto"/>
        <w:ind w:firstLine="720"/>
        <w:jc w:val="center"/>
        <w:outlineLvl w:val="2"/>
        <w:divId w:val="818693847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LỚN 5-6 TUỔI - LỚP MGL 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MGLA3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34"/>
        <w:gridCol w:w="2461"/>
        <w:gridCol w:w="2461"/>
        <w:gridCol w:w="2462"/>
        <w:gridCol w:w="2462"/>
        <w:gridCol w:w="1226"/>
      </w:tblGrid>
      <w:tr w:rsidR="00000000">
        <w:trPr>
          <w:divId w:val="818693847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jc w:val="center"/>
              <w:divId w:val="87412143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jc w:val="center"/>
              <w:divId w:val="161378362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02/03 đến 07/03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jc w:val="center"/>
              <w:divId w:val="85061008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09/03 đến 14/03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jc w:val="center"/>
              <w:divId w:val="20834071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16/03 đến 21/03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jc w:val="center"/>
              <w:divId w:val="11980440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23/03 đến 28/03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jc w:val="center"/>
              <w:divId w:val="203098804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8186938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tóc,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gàng. Thông báo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mang bìa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</w:t>
            </w:r>
            <w:r>
              <w:rPr>
                <w:rStyle w:val="plan-content-pre1"/>
              </w:rPr>
              <w:t xml:space="preserve"> PTGT,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GT,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PTGT.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và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TD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“Em đi qua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Thân: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r>
              <w:rPr>
                <w:rStyle w:val="plan-content-pre1"/>
              </w:rPr>
              <w:t>Chân : 2 tay ch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hông , đưa chân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</w:tr>
      <w:tr w:rsidR="00000000">
        <w:trPr>
          <w:divId w:val="8186938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8/3: là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chào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8/3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PTGT,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hành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giao thông,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an toàn khi tham gia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băng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PTGT,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vui chơi không an toàn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,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an toàn: Sau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nhà ngay, không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ý đi chơi…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không an toàn và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….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</w:tr>
      <w:tr w:rsidR="00000000">
        <w:trPr>
          <w:divId w:val="81869384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Ném trúng đích thẳng đứng.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Cướp cờ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p-q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Chạy 150m không hạn chế thời gian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Đua thuyền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g-y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MT106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MT61</w:t>
            </w:r>
          </w:p>
        </w:tc>
      </w:tr>
      <w:tr w:rsidR="00000000">
        <w:trPr>
          <w:divId w:val="8186938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trang trí váy tặng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phương tiện giao thông mà bé thích.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ngã tư đường phố (ĐT)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thuyền trên biển (ĐT)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</w:tr>
      <w:tr w:rsidR="00000000">
        <w:trPr>
          <w:divId w:val="8186938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số 10, số lượng và số thứ tự trong phạm vi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10 đối tượng ra làm 2 phần bằng các cách khác nhau.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trái, phải của đối tượng khác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nhận biết khối cầu, khối trụ, khối vuông, </w:t>
            </w:r>
            <w:r>
              <w:rPr>
                <w:rStyle w:val="plan-content-pre1"/>
                <w:rFonts w:eastAsia="Times New Roman"/>
              </w:rPr>
              <w:t>khối chữ nhật.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</w:tr>
      <w:tr w:rsidR="00000000">
        <w:trPr>
          <w:divId w:val="8186938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Bó hoa tặng cô.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Tác giả: Ngô Quân Miện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VĐ: Em đi qua ngã tư đường phố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Nhanh, chậm, dừng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Qua đường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Bạn ơi có biết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Anh phi công ơi.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</w:tr>
      <w:tr w:rsidR="00000000">
        <w:trPr>
          <w:divId w:val="8186938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các loại PTGT đường bộ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loại biển báo giao thông đường bộ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GDNSTLVM: Văn minh khi đang đi </w:t>
            </w:r>
            <w:r>
              <w:rPr>
                <w:rStyle w:val="plan-content-pre1"/>
                <w:rFonts w:eastAsia="Times New Roman"/>
              </w:rPr>
              <w:lastRenderedPageBreak/>
              <w:t>thang máy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</w:tr>
      <w:tr w:rsidR="00000000">
        <w:trPr>
          <w:divId w:val="8186938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kỹ năng gấp quần 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“Những tấm biển biết nói”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phương tiện giao thông mà bé thích.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chữ cái g-y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</w:tr>
      <w:tr w:rsidR="00000000">
        <w:trPr>
          <w:divId w:val="81869384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nghiệm: Nặng – nhẹ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Bật liên tục vào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Ôtô về bến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nghiệm: Tan và không tan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Chuyền bóng bên phải, bên trái. Chạy nhanh 100m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</w:tr>
      <w:tr w:rsidR="00000000">
        <w:trPr>
          <w:divId w:val="8186938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nhà để xe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vòng, phấn, đồ chơi liên hoàn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xe máy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Ô tô và chim sẻ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vòng, phấn, lá cây, sỏi...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các biển báo giao thông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Bánh xe quay.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Cho trẻ chơi tự do, nhặt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xe ôtô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Ném xa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</w:tr>
      <w:tr w:rsidR="00000000">
        <w:trPr>
          <w:divId w:val="8186938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xe đạp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Đẩy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Ô tô và chim sẻ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hồng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Cho trẻ chơi tự do, nhặt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Dạy trẻ gấp máy bay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vòng, phấ</w:t>
            </w:r>
            <w:r>
              <w:rPr>
                <w:rStyle w:val="plan-content-pre1"/>
                <w:rFonts w:eastAsia="Times New Roman"/>
              </w:rPr>
              <w:t>n, lá cây, sỏi....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</w:tr>
      <w:tr w:rsidR="00000000">
        <w:trPr>
          <w:divId w:val="8186938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MGL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Giao lưu với lớp MGL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Giao lưu với lớp MGL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Giao lưu với lớp MGL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</w:tr>
      <w:tr w:rsidR="00000000">
        <w:trPr>
          <w:divId w:val="8186938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Tưới cây, lau lá, chăm sóc cây trong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Cho trẻ tưới cây, nhổ cỏ góc thiên nhiên lớp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Nhặt rác, lá cây trong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Dọn vệ sinh khu vực phòng hội đồng, góc âm nhạc ngoài hành lang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</w:tr>
      <w:tr w:rsidR="00000000">
        <w:trPr>
          <w:divId w:val="8186938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Vòng quay socola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rau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Chìm nổi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trong khu vận động.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đám mây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phấn, bóng, lá cây, cát, sỏi..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</w:t>
            </w:r>
            <w:r>
              <w:rPr>
                <w:rStyle w:val="plan-content-pre1"/>
                <w:rFonts w:eastAsia="Times New Roman"/>
              </w:rPr>
              <w:t>CCĐ: Quan sát cây hoa dâm bụt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TCVĐ:Nhảy qua dây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Vẽ theo ý thích trên sân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</w:tr>
      <w:tr w:rsidR="00000000">
        <w:trPr>
          <w:divId w:val="8186938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PTGT (T1). Làm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8/3 (T2).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(T3).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bãi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xe (T4).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phòng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góc bán hàng,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nghe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chia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kinh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Chơi “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túi k</w:t>
            </w:r>
            <w:r>
              <w:rPr>
                <w:rStyle w:val="plan-content-pre1"/>
              </w:rPr>
              <w:t>ỳ</w:t>
            </w:r>
            <w:r>
              <w:rPr>
                <w:rStyle w:val="plan-content-pre1"/>
              </w:rPr>
              <w:t xml:space="preserve">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u”,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10,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1-10,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 xml:space="preserve">u, 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in,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hình,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PTGT,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báo...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vuông, tr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qua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+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các PTGT,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8/3, làm các PTGT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nghuyên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lõi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 xanh,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truyên: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truyên vê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Cài khóa áo phao, cài quai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  <w:p w:rsidR="00000000" w:rsidRDefault="006A1F6E">
            <w:r>
              <w:rPr>
                <w:rStyle w:val="plan-content-pre1"/>
              </w:rPr>
              <w:t>GDNSVMTL: Ăn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hàng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  <w:p w:rsidR="00000000" w:rsidRDefault="006A1F6E">
            <w:r>
              <w:rPr>
                <w:rStyle w:val="plan-content-pre1"/>
              </w:rPr>
              <w:lastRenderedPageBreak/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nghe ý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tho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chia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kinh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  <w:p w:rsidR="00000000" w:rsidRDefault="006A1F6E">
            <w:r>
              <w:rPr>
                <w:rStyle w:val="plan-content-pre1"/>
              </w:rPr>
              <w:t>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8/3,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PTGT: Đi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p, em đi qua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...Tr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qua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chơi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MT88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</w:t>
            </w:r>
            <w:r>
              <w:rPr>
                <w:rFonts w:eastAsia="Times New Roman"/>
                <w:u w:val="single"/>
              </w:rPr>
              <w:t>9</w:t>
            </w:r>
          </w:p>
        </w:tc>
      </w:tr>
      <w:tr w:rsidR="00000000">
        <w:trPr>
          <w:divId w:val="8186938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xuyên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áo,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chăn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 và ngáp.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ăn, không làm rơi vãi cơm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các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giao thông, các nhóm PTGT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 </w:t>
            </w:r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Qua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xe lu và xe ca....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</w:tr>
      <w:tr w:rsidR="00000000">
        <w:trPr>
          <w:divId w:val="81869384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giữ gìn vệ sinh cơ thể sạch sẽ phòng tránh dịch bệnh.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p-q (Trang 14)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Bài 14: Trò chơi với chữ cái h, k, p,q (Trang 15)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g, y ( trang 16)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MT89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MT33</w:t>
            </w:r>
          </w:p>
        </w:tc>
      </w:tr>
      <w:tr w:rsidR="00000000">
        <w:trPr>
          <w:divId w:val="8186938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Em đi qua ngã tư đường phố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Từ một ngã tư đường phố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Hướng dẫn trẻ cách nhận diện kí hiệu thông thường: nhà vệ sinh, nơi nguy hiểm, lối ra - vào, cấm lửa, biển báo giao thông…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Em đi chơi thuyền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Chiếc hộp âm nhạc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Đàn kiến nó đi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</w:tr>
      <w:tr w:rsidR="00000000">
        <w:trPr>
          <w:divId w:val="8186938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 trang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 trang 8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 trang 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 trang 22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</w:tr>
      <w:tr w:rsidR="00000000">
        <w:trPr>
          <w:divId w:val="8186938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Hướng dẫn trẻ biết </w:t>
            </w:r>
            <w:r>
              <w:rPr>
                <w:rStyle w:val="plan-content-pre1"/>
                <w:rFonts w:eastAsia="Times New Roman"/>
              </w:rPr>
              <w:lastRenderedPageBreak/>
              <w:t>tìm cách để giải quyết mâu thuẫn (dùng lời, nhờ sự can thiệp của người khác, chấp nhận nhường nhịn)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Dạy trẻ nhận biết </w:t>
            </w:r>
            <w:r>
              <w:rPr>
                <w:rStyle w:val="plan-content-pre1"/>
                <w:rFonts w:eastAsia="Times New Roman"/>
              </w:rPr>
              <w:lastRenderedPageBreak/>
              <w:t>một số trường hợp không an toàn và gọi người giúp đỡ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Gộp và đếm các </w:t>
            </w:r>
            <w:r>
              <w:rPr>
                <w:rStyle w:val="plan-content-pre1"/>
                <w:rFonts w:eastAsia="Times New Roman"/>
              </w:rPr>
              <w:lastRenderedPageBreak/>
              <w:t>nhóm trong phạm vi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Đếm đến 10, đếm </w:t>
            </w:r>
            <w:r>
              <w:rPr>
                <w:rStyle w:val="plan-content-pre1"/>
                <w:rFonts w:eastAsia="Times New Roman"/>
              </w:rPr>
              <w:lastRenderedPageBreak/>
              <w:t>theo khả năng, đếm bằng các cách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</w:tr>
      <w:tr w:rsidR="00000000">
        <w:trPr>
          <w:divId w:val="8186938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GDNSVMTL:Vui chơi lành mạnh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GDNSVMTL:Trên đường đến lớp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GDNSVM: Đến thăm nhà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Nêu gương bé ngoan cuối tuần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Liên hoan văn nghệ.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</w:tr>
      <w:tr w:rsidR="00000000">
        <w:trPr>
          <w:divId w:val="8186938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</w:tr>
      <w:tr w:rsidR="00000000">
        <w:trPr>
          <w:divId w:val="8186938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SK: Ngày 8/3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PTGT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biển báo giao thông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Luật giao thông đường bộ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A1F6E">
            <w:pPr>
              <w:rPr>
                <w:rFonts w:eastAsia="Times New Roman"/>
              </w:rPr>
            </w:pPr>
          </w:p>
        </w:tc>
      </w:tr>
      <w:tr w:rsidR="00000000">
        <w:trPr>
          <w:divId w:val="8186938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1F6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6A1F6E">
            <w:pPr>
              <w:pStyle w:val="text-center-report"/>
              <w:spacing w:before="0" w:beforeAutospacing="0" w:after="0" w:afterAutospacing="0"/>
              <w:divId w:val="1906842566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6A1F6E">
            <w:pPr>
              <w:rPr>
                <w:rFonts w:eastAsia="Times New Roman"/>
              </w:rPr>
            </w:pPr>
          </w:p>
          <w:p w:rsidR="00000000" w:rsidRDefault="006A1F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6A1F6E">
            <w:pPr>
              <w:pStyle w:val="text-center-report"/>
              <w:spacing w:before="0" w:beforeAutospacing="0" w:after="0" w:afterAutospacing="0"/>
              <w:divId w:val="15630519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6A1F6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24/02/2026</w:t>
            </w:r>
          </w:p>
          <w:p w:rsidR="00000000" w:rsidRDefault="006A1F6E">
            <w:pPr>
              <w:rPr>
                <w:rFonts w:eastAsia="Times New Roman"/>
              </w:rPr>
            </w:pPr>
          </w:p>
        </w:tc>
      </w:tr>
    </w:tbl>
    <w:p w:rsidR="00000000" w:rsidRDefault="006A1F6E">
      <w:pPr>
        <w:pStyle w:val="Heading2"/>
        <w:spacing w:before="0" w:beforeAutospacing="0" w:after="0" w:afterAutospacing="0" w:line="288" w:lineRule="auto"/>
        <w:ind w:firstLine="720"/>
        <w:jc w:val="both"/>
        <w:divId w:val="818693847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818693847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A1F6E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</w:t>
            </w:r>
            <w:r>
              <w:rPr>
                <w:rStyle w:val="only-print"/>
                <w:rFonts w:eastAsia="Times New Roman"/>
                <w:b/>
                <w:bCs/>
              </w:rPr>
              <w:t>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A1F6E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Khối trưởn</w:t>
            </w:r>
            <w:r>
              <w:rPr>
                <w:rStyle w:val="only-print"/>
                <w:rFonts w:eastAsia="Times New Roman"/>
                <w:b/>
                <w:bCs/>
              </w:rPr>
              <w:t>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A1F6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818693847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6A1F6E">
            <w:pPr>
              <w:jc w:val="center"/>
              <w:divId w:val="134185199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" descr="C:\Users\Administrator\Desktop\kehoachgiaoduc-THANG 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C:\Users\Administrator\Desktop\kehoachgiaoduc-THANG 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6A1F6E">
            <w:pPr>
              <w:divId w:val="134185199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10/03/202</w:t>
            </w:r>
            <w:r>
              <w:rPr>
                <w:rFonts w:eastAsia="Times New Roman"/>
                <w:vanish/>
              </w:rPr>
              <w:t>6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6A1F6E">
            <w:pPr>
              <w:jc w:val="center"/>
              <w:divId w:val="95586562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" descr="C:\Users\Administrator\Desktop\kehoachgiaoduc-THANG 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C:\Users\Administrator\Desktop\kehoachgiaoduc-THANG 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6A1F6E">
            <w:pPr>
              <w:divId w:val="95586562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10/03/202</w:t>
            </w:r>
            <w:r>
              <w:rPr>
                <w:rFonts w:eastAsia="Times New Roman"/>
                <w:vanish/>
              </w:rPr>
              <w:t>6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6A1F6E">
            <w:pPr>
              <w:jc w:val="center"/>
              <w:divId w:val="97668682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" descr="C:\Users\Administrator\Desktop\kehoachgiaoduc-THANG 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C:\Users\Administrator\Desktop\kehoachgiaoduc-THANG 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6A1F6E">
            <w:pPr>
              <w:divId w:val="97668682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10/03/202</w:t>
            </w:r>
            <w:r>
              <w:rPr>
                <w:rFonts w:eastAsia="Times New Roman"/>
                <w:vanish/>
              </w:rPr>
              <w:t>6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6A1F6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A1F6E"/>
    <w:rsid w:val="006A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425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1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C:\Users\Administrator\Desktop\kehoachgiaoduc-THANG%203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2026-03-10T02:30:00Z</dcterms:created>
  <dcterms:modified xsi:type="dcterms:W3CDTF">2026-03-10T02:30:00Z</dcterms:modified>
</cp:coreProperties>
</file>