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1CAF">
      <w:pPr>
        <w:pStyle w:val="NormalWeb"/>
        <w:spacing w:line="288" w:lineRule="auto"/>
        <w:ind w:firstLine="720"/>
        <w:jc w:val="center"/>
        <w:outlineLvl w:val="2"/>
        <w:divId w:val="108599924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08599924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divId w:val="11126322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jc w:val="center"/>
              <w:divId w:val="17348889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05/05 đến 10/05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jc w:val="center"/>
              <w:divId w:val="15382762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12/05 đến 17/05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jc w:val="center"/>
              <w:divId w:val="10728952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19/05 đến 24/05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jc w:val="center"/>
              <w:divId w:val="687003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26/05 đến 31/05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divId w:val="11334498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085999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r>
              <w:rPr>
                <w:rStyle w:val="plan-content-pre1"/>
              </w:rPr>
              <w:t>*Đón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.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</w:t>
            </w:r>
            <w:r>
              <w:rPr>
                <w:rStyle w:val="plan-content-pre1"/>
              </w:rPr>
              <w:t>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lưu 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</w:t>
            </w:r>
            <w:r>
              <w:rPr>
                <w:rStyle w:val="plan-content-pre1"/>
              </w:rPr>
              <w:t>p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“Yêu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y, nơ...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đưa sang ngang,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thân san</w:t>
            </w:r>
            <w:r>
              <w:rPr>
                <w:rStyle w:val="plan-content-pre1"/>
              </w:rPr>
              <w:t>g bên 90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yêu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Con đang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Thành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nào?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con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cho đi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khu di tích danh lam nào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i? </w:t>
            </w:r>
            <w:r>
              <w:rPr>
                <w:rStyle w:val="plan-content-pre1"/>
              </w:rPr>
              <w:t>Con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lăng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tình yêu thương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dành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(ngày sinh, quê Bác….)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nhìn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Bác chưa? Lăng Bác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ntn?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 ntn?(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nên quan tâm, tăng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chơi, tham quan dã ngo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</w:t>
            </w:r>
            <w:r>
              <w:rPr>
                <w:rStyle w:val="plan-content-pre1"/>
              </w:rPr>
              <w:t>, và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mát m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kĩ năng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và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</w:t>
            </w:r>
            <w:r>
              <w:rPr>
                <w:rStyle w:val="plan-content-pre1"/>
              </w:rPr>
              <w:t>g ngày đó.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và bắt bóng theo hàng dọc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trong đường hẹp đầu đội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Taxi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Trườn theo đường zíc zắc.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Tung và bắt bóng với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Đua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Gộp hai nhóm có số lượng 5 và đếm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nhóm theo một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buối sáng buổi chiều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bức tranh quê 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màu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màu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Nặn quả cam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danh lam thắng cảnh thủ đô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Trái đất này là của chúng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Ảnh Bác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T/g: Trần Đăng Khoa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Hòa bình cho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Bác Hồ người cho em tất cả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Niềm vui bất ngờ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chắp ghép các hình học thành các hình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lá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với trẻ về làng phố nơi trẻ đang sinh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một số danh lam thắng cảnh: Hồ Gươm, Lăng Bác, Văn Miếu...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Cái bóng của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</w:t>
            </w:r>
            <w:r>
              <w:rPr>
                <w:rStyle w:val="plan-content-pre1"/>
                <w:rFonts w:eastAsia="Times New Roman"/>
              </w:rPr>
              <w:lastRenderedPageBreak/>
              <w:t>với đồ chơi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hoa mười giờ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Bác Hồ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Bong bóng xà phòng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hột hạt, chong chóng, lá cây, bật ô, vẽ phấn, chơi với đồ </w:t>
            </w:r>
            <w:r>
              <w:rPr>
                <w:rStyle w:val="plan-content-pre1"/>
                <w:rFonts w:eastAsia="Times New Roman"/>
              </w:rPr>
              <w:lastRenderedPageBreak/>
              <w:t>chơi ngoài trời</w:t>
            </w:r>
            <w:r>
              <w:rPr>
                <w:rStyle w:val="plan-content-pre1"/>
                <w:rFonts w:eastAsia="Times New Roman"/>
              </w:rPr>
              <w:t>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 cây hoa phượng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hột hạt, chong chóng, lá cây, bật ô, vẽ phấn, chơi với đồ </w:t>
            </w:r>
            <w:r>
              <w:rPr>
                <w:rStyle w:val="plan-content-pre1"/>
                <w:rFonts w:eastAsia="Times New Roman"/>
              </w:rPr>
              <w:lastRenderedPageBreak/>
              <w:t>chơi ngoài trời...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C4: Trò chơi: Mèo đuổi chuột, bịt mắt đánh trống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c4: Giao lưu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c4: đọc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loa kèn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trồng nụ, trồng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bằng lăng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nơi mà bé được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về những câu chuyện mà bé được nghe về Bác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Hái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hột hạt, chong chóng, lá cây, bật ô, vẽ phấn, chơi với đồ chơi ngoài trời...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tưới cây, bắt sâu, nhổ cỏ, chăm sóc cây trong góc thiên nhiên của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nhổ cỏ vườn bưởi trong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Lao động tưới cây, bắt sâu, nhổ cỏ cho bồn hoa trước cửa lớp.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nhặt rác xung qu</w:t>
            </w:r>
            <w:r>
              <w:rPr>
                <w:rStyle w:val="plan-content-pre1"/>
                <w:rFonts w:eastAsia="Times New Roman"/>
              </w:rPr>
              <w:t>anh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giấy gấp quạt, cắp cua bỏ giỏ, chơi với phấn, vòng,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+ Chơi bảng chun, xếp hình bằng sỏi, hột hạt, chơi với vòng thể dục, chơi với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cây quang cành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Chơi với đồ chơi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Vẽ tự do trên sân, chơi với đồ chơi, thiết bị ngoài trời, ném vòng cổ chai, chơi ô ăn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lá, sỏi, vòng.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cây quang cành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cưa lửa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</w:t>
            </w:r>
            <w:r>
              <w:rPr>
                <w:rStyle w:val="plan-content-pre1"/>
                <w:rFonts w:eastAsia="Times New Roman"/>
              </w:rPr>
              <w:t>lá, sỏi, vòng...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I: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II: Khám phá: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các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III: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lăng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IV: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và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tóc,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cài cúc, kéo khóa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r>
              <w:rPr>
                <w:rStyle w:val="plan-content-pre1"/>
              </w:rPr>
              <w:t>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hát ru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rót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lau chùi đồ dùng cá nhân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Kỹ năng khóa-mở cửa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Kĩ năng sử dụng đũa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ngôi nhà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Nghe kể các câu chuyện về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sáng và chiều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về quê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25: Thăm quan triển lãm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bài thơ: Bác hồ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GDNSVM:Bài 30: Đến thăm nhà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và so sánh các hình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Ai ngoan sẽ được thưởng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sáng và chiều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các bài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Dọn vệ sinh lớp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hát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bài thơ đã học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Tự do chơi với đồ chơi lắp ghép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Thi đua đọc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Đất nước Việt Nam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ăn truyền thống Việt Nam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kiện: Mừng sinh nhật Bác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Tổng kết năm học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11CAF">
            <w:pPr>
              <w:rPr>
                <w:rFonts w:eastAsia="Times New Roman"/>
              </w:rPr>
            </w:pPr>
          </w:p>
        </w:tc>
      </w:tr>
      <w:tr w:rsidR="00000000">
        <w:trPr>
          <w:divId w:val="1085999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711CAF">
            <w:pPr>
              <w:pStyle w:val="text-center-report"/>
              <w:spacing w:before="0" w:beforeAutospacing="0" w:after="0" w:afterAutospacing="0"/>
              <w:divId w:val="5505412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711CAF">
            <w:pPr>
              <w:rPr>
                <w:rFonts w:eastAsia="Times New Roman"/>
              </w:rPr>
            </w:pPr>
          </w:p>
          <w:p w:rsidR="00000000" w:rsidRDefault="00711CA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711CAF">
            <w:pPr>
              <w:pStyle w:val="text-center-report"/>
              <w:spacing w:before="0" w:beforeAutospacing="0" w:after="0" w:afterAutospacing="0"/>
              <w:divId w:val="129756970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711CAF">
            <w:pPr>
              <w:rPr>
                <w:rFonts w:eastAsia="Times New Roman"/>
              </w:rPr>
            </w:pPr>
          </w:p>
        </w:tc>
      </w:tr>
    </w:tbl>
    <w:p w:rsidR="00000000" w:rsidRDefault="00711CAF">
      <w:pPr>
        <w:pStyle w:val="Heading2"/>
        <w:spacing w:before="0" w:beforeAutospacing="0" w:after="0" w:afterAutospacing="0" w:line="288" w:lineRule="auto"/>
        <w:ind w:firstLine="720"/>
        <w:jc w:val="both"/>
        <w:divId w:val="108599924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08599924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711CA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08599924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711CAF">
            <w:pPr>
              <w:jc w:val="center"/>
              <w:divId w:val="188051118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6" name="principal" descr="D:\Downloads\kehoachgiaoduc-17455712684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D:\Downloads\kehoachgiaoduc-17455712684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1CAF">
            <w:pPr>
              <w:divId w:val="188051118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25/04/202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11CAF">
            <w:pPr>
              <w:jc w:val="center"/>
              <w:divId w:val="210530395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7" name="leader" descr="D:\Downloads\kehoachgiaoduc-17455712684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D:\Downloads\kehoachgiaoduc-17455712684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1CAF">
            <w:pPr>
              <w:divId w:val="210530395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25/04/202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711CAF">
            <w:pPr>
              <w:jc w:val="center"/>
              <w:divId w:val="190849373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8080" cy="765810"/>
                  <wp:effectExtent l="0" t="0" r="0" b="0"/>
                  <wp:docPr id="8" name="teacher" descr="D:\Downloads\kehoachgiaoduc-17455712684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D:\Downloads\kehoachgiaoduc-17455712684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711CAF">
            <w:pPr>
              <w:divId w:val="190849373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25/04/202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711CA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5871"/>
    <w:rsid w:val="001A5871"/>
    <w:rsid w:val="007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41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7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D:\Downloads\kehoachgiaoduc-1745571268488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1676</Words>
  <Characters>6101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2025-04-25T08:55:00Z</dcterms:created>
  <dcterms:modified xsi:type="dcterms:W3CDTF">2025-04-25T08:55:00Z</dcterms:modified>
</cp:coreProperties>
</file>