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9923" w:type="dxa"/>
        <w:tblLook w:val="01E0" w:firstRow="1" w:lastRow="1" w:firstColumn="1" w:lastColumn="1" w:noHBand="0" w:noVBand="0"/>
      </w:tblPr>
      <w:tblGrid>
        <w:gridCol w:w="4102"/>
        <w:gridCol w:w="5821"/>
      </w:tblGrid>
      <w:tr w:rsidR="004D4394" w:rsidRPr="004D4394" w:rsidTr="00183809">
        <w:tc>
          <w:tcPr>
            <w:tcW w:w="4102" w:type="dxa"/>
            <w:shd w:val="clear" w:color="auto" w:fill="auto"/>
          </w:tcPr>
          <w:p w:rsidR="007D7DB0" w:rsidRPr="004D4394" w:rsidRDefault="007D7DB0" w:rsidP="00CF09C8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val="es-BO"/>
              </w:rPr>
            </w:pPr>
            <w:r w:rsidRPr="004D4394">
              <w:rPr>
                <w:rFonts w:ascii="Times New Roman" w:hAnsi="Times New Roman"/>
                <w:color w:val="000000" w:themeColor="text1"/>
                <w:szCs w:val="28"/>
                <w:lang w:val="es-BO"/>
              </w:rPr>
              <w:t>UBND QUẬN LONG BIÊN</w:t>
            </w:r>
          </w:p>
          <w:p w:rsidR="007D7DB0" w:rsidRPr="004D4394" w:rsidRDefault="007D7DB0" w:rsidP="00CF09C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D4394">
              <w:rPr>
                <w:rFonts w:ascii="Times New Roman" w:hAnsi="Times New Roman"/>
                <w:b/>
                <w:color w:val="000000" w:themeColor="text1"/>
                <w:szCs w:val="28"/>
                <w:lang w:val="es-BO"/>
              </w:rPr>
              <w:t xml:space="preserve">TRƯỜNG MN </w:t>
            </w:r>
            <w:r w:rsidR="00063C29">
              <w:rPr>
                <w:rFonts w:ascii="Times New Roman" w:hAnsi="Times New Roman"/>
                <w:b/>
                <w:color w:val="000000" w:themeColor="text1"/>
                <w:szCs w:val="28"/>
                <w:lang w:val="es-BO"/>
              </w:rPr>
              <w:t>BẮC CẦU</w:t>
            </w:r>
          </w:p>
          <w:p w:rsidR="007D7DB0" w:rsidRPr="00F70C0F" w:rsidRDefault="00CF09C8" w:rsidP="0018380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30480</wp:posOffset>
                      </wp:positionV>
                      <wp:extent cx="11525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2.4pt" to="13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2XtAEAALcDAAAOAAAAZHJzL2Uyb0RvYy54bWysU8GO0zAQvSPxD5bvNE1XIBQ13UNXcEFQ&#10;sfABXmfcWNgea2za9O8Zu20WLQih1SqS44nfezNvPFnfTt6JA1CyGHrZLpZSQNA42LDv5fdvH968&#10;lyJlFQblMEAvT5Dk7eb1q/UxdrDCEd0AJFgkpO4YeznmHLumSXoEr9ICIwQ+NEheZQ5p3wykjqzu&#10;XbNaLt81R6QhEmpIib/enQ/lpuobAzp/MSZBFq6XXFuuK9X1oazNZq26Pak4Wn0pQz2jCq9s4KSz&#10;1J3KSvwk+4eUt5owockLjb5BY6yG6oHdtMsnbu5HFaF64eakOLcpvZys/nzYkbBDL2+kCMrzFd1n&#10;UnY/ZrHFELiBSOKm9OkYU8fwbdjRJUpxR8X0ZMiXN9sRU+3tae4tTFlo/ti2b1f8SKGvZ80jMVLK&#10;HwG9KJteOhuKbdWpw6eUORlDrxAOSiHn1HWXTw4K2IWvYNhKSVbZdYhg60gcFF//8KMtNlirIgvF&#10;WOdm0vLfpAu20KAO1v8SZ3TNiCHPRG8D0t+y5ulaqjnjr67PXovtBxxO9SJqO3g6qrPLJJfx+z2u&#10;9Mf/bfMLAAD//wMAUEsDBBQABgAIAAAAIQC+kdD82wAAAAYBAAAPAAAAZHJzL2Rvd25yZXYueG1s&#10;TI9PT4NAFMTvJn6HzWvizS4lVSqyNMY/Jz1Q9OBxyz6BlH1L2C2gn95nL/Y4mcnMb7LtbDsx4uBb&#10;RwpWywgEUuVMS7WCj/eX6w0IHzQZ3TlCBd/oYZtfXmQ6NW6iHY5lqAWXkE+1giaEPpXSVw1a7Zeu&#10;R2Lvyw1WB5ZDLc2gJy63nYyj6FZa3RIvNLrHxwarQ3m0CpLn17Lop6e3n0ImsihGFzaHT6WuFvPD&#10;PYiAc/gPwx8+o0POTHt3JONFp+AuvuGkgjUfYDtO1nxtf9Iyz+Q5fv4LAAD//wMAUEsBAi0AFAAG&#10;AAgAAAAhALaDOJL+AAAA4QEAABMAAAAAAAAAAAAAAAAAAAAAAFtDb250ZW50X1R5cGVzXS54bWxQ&#10;SwECLQAUAAYACAAAACEAOP0h/9YAAACUAQAACwAAAAAAAAAAAAAAAAAvAQAAX3JlbHMvLnJlbHNQ&#10;SwECLQAUAAYACAAAACEALwjdl7QBAAC3AwAADgAAAAAAAAAAAAAAAAAuAgAAZHJzL2Uyb0RvYy54&#10;bWxQSwECLQAUAAYACAAAACEAvpHQ/NsAAAAGAQAADwAAAAAAAAAAAAAAAAAOBAAAZHJzL2Rvd25y&#10;ZXYueG1sUEsFBgAAAAAEAAQA8wAAABYFAAAAAA==&#10;" strokecolor="black [3040]"/>
                  </w:pict>
                </mc:Fallback>
              </mc:AlternateContent>
            </w:r>
          </w:p>
          <w:p w:rsidR="007D7DB0" w:rsidRPr="004D4394" w:rsidRDefault="007D7DB0" w:rsidP="00063C29">
            <w:pPr>
              <w:tabs>
                <w:tab w:val="left" w:pos="2975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43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70C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  <w:r w:rsidR="00063C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="00F70C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7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C67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16 </w:t>
            </w:r>
            <w:r w:rsidRPr="004D43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/BC-MN</w:t>
            </w:r>
            <w:r w:rsidR="00063C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BC</w:t>
            </w:r>
          </w:p>
        </w:tc>
        <w:tc>
          <w:tcPr>
            <w:tcW w:w="5821" w:type="dxa"/>
            <w:shd w:val="clear" w:color="auto" w:fill="auto"/>
          </w:tcPr>
          <w:p w:rsidR="007D7DB0" w:rsidRPr="004D4394" w:rsidRDefault="007D7DB0" w:rsidP="0018380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  <w:lang w:val="vi-VN"/>
              </w:rPr>
            </w:pPr>
            <w:r w:rsidRPr="004D4394">
              <w:rPr>
                <w:rFonts w:ascii="Times New Roman" w:hAnsi="Times New Roman"/>
                <w:b/>
                <w:color w:val="000000" w:themeColor="text1"/>
                <w:szCs w:val="28"/>
                <w:lang w:val="vi-VN"/>
              </w:rPr>
              <w:t>CỘNG HÒA XÃ HỘI CHỦ NGHĨA VIỆT NAM</w:t>
            </w:r>
          </w:p>
          <w:p w:rsidR="007D7DB0" w:rsidRPr="004D4394" w:rsidRDefault="007D7DB0" w:rsidP="0018380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D439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Độc lập- Tự do- Hạnh phúc</w:t>
            </w:r>
          </w:p>
          <w:p w:rsidR="007D7DB0" w:rsidRPr="004D4394" w:rsidRDefault="007D7DB0" w:rsidP="0018380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D4394">
              <w:rPr>
                <w:rFonts w:ascii="Times New Roman" w:hAnsi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0BE127" wp14:editId="18C95562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635</wp:posOffset>
                      </wp:positionV>
                      <wp:extent cx="1828800" cy="0"/>
                      <wp:effectExtent l="7620" t="8890" r="1143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05pt,.05pt" to="213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ErSaebYAAAABQEAAA8AAABkcnMvZG93bnJldi54bWxMjsFOwzAQRO9I&#10;/IO1SFyq1mmKqiqNUyEgNy4UENdtvCQR8TqN3Tbw9WxOcNunGc2+fDe6Tp1pCK1nA8tFAoq48rbl&#10;2sDbaznfgAoR2WLnmQx8U4BdcX2VY2b9hV/ovI+1khEOGRpoYuwzrUPVkMOw8D2xZJ9+cBgFh1rb&#10;AS8y7jqdJslaO2xZPjTY00ND1df+5AyE8p2O5c+smiUfq9pTenx8fkJjbm/G+y2oSGP8K8OkL+pQ&#10;iNPBn9gG1QmvNkupToGS+C5dy3GYUBe5/m9f/AIAAP//AwBQSwECLQAUAAYACAAAACEAtoM4kv4A&#10;AADhAQAAEwAAAAAAAAAAAAAAAAAAAAAAW0NvbnRlbnRfVHlwZXNdLnhtbFBLAQItABQABgAIAAAA&#10;IQA4/SH/1gAAAJQBAAALAAAAAAAAAAAAAAAAAC8BAABfcmVscy8ucmVsc1BLAQItABQABgAIAAAA&#10;IQBW/6JvHAIAADYEAAAOAAAAAAAAAAAAAAAAAC4CAABkcnMvZTJvRG9jLnhtbFBLAQItABQABgAI&#10;AAAAIQBK0mnm2AAAAAUBAAAPAAAAAAAAAAAAAAAAAHYEAABkcnMvZG93bnJldi54bWxQSwUGAAAA&#10;AAQABADzAAAAewUAAAAA&#10;"/>
                  </w:pict>
                </mc:Fallback>
              </mc:AlternateContent>
            </w:r>
          </w:p>
          <w:p w:rsidR="007D7DB0" w:rsidRPr="004D4394" w:rsidRDefault="00063C29" w:rsidP="00B056E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Long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Biên</w:t>
            </w:r>
            <w:proofErr w:type="spellEnd"/>
            <w:r w:rsidR="00A25B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, ngà</w:t>
            </w:r>
            <w:r w:rsidR="00C67D8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y 28 </w:t>
            </w:r>
            <w:r w:rsidR="007D7DB0" w:rsidRPr="004D439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tháng</w:t>
            </w:r>
            <w:r w:rsidR="00C67D8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03</w:t>
            </w:r>
            <w:r w:rsidR="00A25B5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7D7DB0" w:rsidRPr="004D439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năm </w:t>
            </w:r>
            <w:r w:rsidR="007D7DB0" w:rsidRPr="004D439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202</w:t>
            </w:r>
            <w:r w:rsidR="008C7A0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7D7DB0" w:rsidRPr="004D4394" w:rsidRDefault="007D7DB0" w:rsidP="007D7DB0">
      <w:pPr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:rsidR="00063C29" w:rsidRDefault="00063C29" w:rsidP="007D7DB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D7DB0" w:rsidRPr="00E80F4D" w:rsidRDefault="007D7DB0" w:rsidP="007D7DB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80F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BÁO CÁO</w:t>
      </w:r>
    </w:p>
    <w:p w:rsidR="007D7DB0" w:rsidRPr="00E80F4D" w:rsidRDefault="007D7DB0" w:rsidP="007D7DB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80F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KẾT QUẢ CÔNG </w:t>
      </w:r>
      <w:proofErr w:type="gramStart"/>
      <w:r w:rsidRPr="00E80F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TÁC 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SKKN</w:t>
      </w:r>
      <w:proofErr w:type="gramEnd"/>
      <w:r w:rsidRPr="00E80F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NCKH 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NĂM HỌC 20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8C7A0F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-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0</w:t>
      </w:r>
      <w:r w:rsidRPr="00E80F4D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8C7A0F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:rsidR="007D7DB0" w:rsidRPr="006F4750" w:rsidRDefault="007D7DB0" w:rsidP="007D7DB0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color w:val="000000" w:themeColor="text1"/>
          <w:sz w:val="26"/>
          <w:szCs w:val="26"/>
        </w:rPr>
      </w:pPr>
    </w:p>
    <w:p w:rsidR="00B8033C" w:rsidRPr="008C7A0F" w:rsidRDefault="00B8033C" w:rsidP="008C7A0F">
      <w:pPr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24A29">
        <w:rPr>
          <w:rFonts w:ascii="Times New Roman" w:hAnsi="Times New Roman"/>
          <w:color w:val="000000"/>
          <w:sz w:val="28"/>
          <w:szCs w:val="28"/>
          <w:lang w:val="nl-NL"/>
        </w:rPr>
        <w:t xml:space="preserve">Căn cứ Thông tư số 21/2020/TT-BGD &amp; ĐT ngày 31/7/2020 của Bộ Giáo dục và đào tạo quy định về công tác Thi đua khen thưởng trong ngành giáo dục và đào tạo; </w:t>
      </w:r>
    </w:p>
    <w:p w:rsidR="00B8033C" w:rsidRPr="00E24A29" w:rsidRDefault="00C67D8A" w:rsidP="00B8033C">
      <w:pPr>
        <w:spacing w:before="12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Căn cứ kế hoạch số </w:t>
      </w:r>
      <w:r w:rsidR="008C7A0F">
        <w:rPr>
          <w:rFonts w:ascii="Times New Roman" w:hAnsi="Times New Roman"/>
          <w:color w:val="000000"/>
          <w:sz w:val="28"/>
          <w:szCs w:val="28"/>
          <w:lang w:val="nl-NL"/>
        </w:rPr>
        <w:t>20</w:t>
      </w:r>
      <w:r w:rsidR="00B8033C" w:rsidRPr="00E24A29">
        <w:rPr>
          <w:rFonts w:ascii="Times New Roman" w:hAnsi="Times New Roman"/>
          <w:color w:val="000000"/>
          <w:sz w:val="28"/>
          <w:szCs w:val="28"/>
          <w:lang w:val="nl-NL"/>
        </w:rPr>
        <w:t>/</w:t>
      </w:r>
      <w:r w:rsidR="008C7A0F">
        <w:rPr>
          <w:rFonts w:ascii="Times New Roman" w:hAnsi="Times New Roman"/>
          <w:color w:val="000000"/>
          <w:sz w:val="28"/>
          <w:szCs w:val="28"/>
          <w:lang w:val="nl-NL"/>
        </w:rPr>
        <w:t>KH-</w:t>
      </w:r>
      <w:r w:rsidR="004F26B3">
        <w:rPr>
          <w:rFonts w:ascii="Times New Roman" w:hAnsi="Times New Roman"/>
          <w:color w:val="000000"/>
          <w:sz w:val="28"/>
          <w:szCs w:val="28"/>
          <w:lang w:val="nl-NL"/>
        </w:rPr>
        <w:t xml:space="preserve">PGD&amp;ĐT ngày </w:t>
      </w:r>
      <w:r w:rsidR="008C7A0F">
        <w:rPr>
          <w:rFonts w:ascii="Times New Roman" w:hAnsi="Times New Roman"/>
          <w:color w:val="000000"/>
          <w:sz w:val="28"/>
          <w:szCs w:val="28"/>
          <w:lang w:val="nl-NL"/>
        </w:rPr>
        <w:t>05</w:t>
      </w:r>
      <w:r w:rsidR="00B8033C" w:rsidRPr="00E24A29">
        <w:rPr>
          <w:rFonts w:ascii="Times New Roman" w:hAnsi="Times New Roman"/>
          <w:color w:val="000000"/>
          <w:sz w:val="28"/>
          <w:szCs w:val="28"/>
          <w:lang w:val="nl-NL"/>
        </w:rPr>
        <w:t>/9/202</w:t>
      </w:r>
      <w:r w:rsidR="008C7A0F">
        <w:rPr>
          <w:rFonts w:ascii="Times New Roman" w:hAnsi="Times New Roman"/>
          <w:color w:val="000000"/>
          <w:sz w:val="28"/>
          <w:szCs w:val="28"/>
          <w:lang w:val="nl-NL"/>
        </w:rPr>
        <w:t>4</w:t>
      </w:r>
      <w:r w:rsidR="00B8033C" w:rsidRPr="00E24A29">
        <w:rPr>
          <w:rFonts w:ascii="Times New Roman" w:hAnsi="Times New Roman"/>
          <w:color w:val="000000"/>
          <w:sz w:val="28"/>
          <w:szCs w:val="28"/>
          <w:lang w:val="nl-NL"/>
        </w:rPr>
        <w:t xml:space="preserve"> của Phòng GD&amp;ĐT Quận Long Biên về việc hướng dẫn  thực hiện nhiệm năm học 202</w:t>
      </w:r>
      <w:r w:rsidR="008C7A0F">
        <w:rPr>
          <w:rFonts w:ascii="Times New Roman" w:hAnsi="Times New Roman"/>
          <w:color w:val="000000"/>
          <w:sz w:val="28"/>
          <w:szCs w:val="28"/>
          <w:lang w:val="nl-NL"/>
        </w:rPr>
        <w:t>4</w:t>
      </w:r>
      <w:r w:rsidR="00B8033C" w:rsidRPr="00E24A29">
        <w:rPr>
          <w:rFonts w:ascii="Times New Roman" w:hAnsi="Times New Roman"/>
          <w:color w:val="000000"/>
          <w:sz w:val="28"/>
          <w:szCs w:val="28"/>
          <w:lang w:val="nl-NL"/>
        </w:rPr>
        <w:t>– 202</w:t>
      </w:r>
      <w:r w:rsidR="008C7A0F">
        <w:rPr>
          <w:rFonts w:ascii="Times New Roman" w:hAnsi="Times New Roman"/>
          <w:color w:val="000000"/>
          <w:sz w:val="28"/>
          <w:szCs w:val="28"/>
          <w:lang w:val="nl-NL"/>
        </w:rPr>
        <w:t>5</w:t>
      </w:r>
      <w:r w:rsidR="00B8033C" w:rsidRPr="00E24A29">
        <w:rPr>
          <w:rFonts w:ascii="Times New Roman" w:hAnsi="Times New Roman"/>
          <w:color w:val="000000"/>
          <w:sz w:val="28"/>
          <w:szCs w:val="28"/>
          <w:lang w:val="nl-NL"/>
        </w:rPr>
        <w:t>;</w:t>
      </w:r>
    </w:p>
    <w:p w:rsidR="00B8033C" w:rsidRPr="00E24A29" w:rsidRDefault="00B8033C" w:rsidP="00B8033C">
      <w:pPr>
        <w:spacing w:before="12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24A29">
        <w:rPr>
          <w:rFonts w:ascii="Times New Roman" w:hAnsi="Times New Roman"/>
          <w:color w:val="000000"/>
          <w:sz w:val="28"/>
          <w:szCs w:val="28"/>
          <w:lang w:val="vi-VN"/>
        </w:rPr>
        <w:t xml:space="preserve">Căn cứ kế hoạch số </w:t>
      </w:r>
      <w:r w:rsidR="00A25B52" w:rsidRPr="00A25B52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Pr="00A25B52">
        <w:rPr>
          <w:rFonts w:ascii="Times New Roman" w:hAnsi="Times New Roman"/>
          <w:color w:val="000000" w:themeColor="text1"/>
          <w:sz w:val="28"/>
          <w:szCs w:val="28"/>
          <w:lang w:val="vi-VN"/>
        </w:rPr>
        <w:t>/</w:t>
      </w:r>
      <w:r w:rsidRPr="00E24A29">
        <w:rPr>
          <w:rFonts w:ascii="Times New Roman" w:hAnsi="Times New Roman"/>
          <w:color w:val="000000"/>
          <w:sz w:val="28"/>
          <w:szCs w:val="28"/>
        </w:rPr>
        <w:t>KH-</w:t>
      </w:r>
      <w:r w:rsidRPr="00E24A29">
        <w:rPr>
          <w:rFonts w:ascii="Times New Roman" w:hAnsi="Times New Roman"/>
          <w:color w:val="000000"/>
          <w:sz w:val="28"/>
          <w:szCs w:val="28"/>
          <w:lang w:val="vi-VN"/>
        </w:rPr>
        <w:t>MN</w:t>
      </w:r>
      <w:r>
        <w:rPr>
          <w:rFonts w:ascii="Times New Roman" w:hAnsi="Times New Roman"/>
          <w:color w:val="000000"/>
          <w:sz w:val="28"/>
          <w:szCs w:val="28"/>
        </w:rPr>
        <w:t>BC</w:t>
      </w:r>
      <w:r w:rsidRPr="00E24A29">
        <w:rPr>
          <w:rFonts w:ascii="Times New Roman" w:hAnsi="Times New Roman"/>
          <w:color w:val="000000"/>
          <w:sz w:val="28"/>
          <w:szCs w:val="28"/>
          <w:lang w:val="vi-VN"/>
        </w:rPr>
        <w:t xml:space="preserve"> ngày </w:t>
      </w:r>
      <w:r w:rsidRPr="00E24A29">
        <w:rPr>
          <w:rFonts w:ascii="Times New Roman" w:hAnsi="Times New Roman"/>
          <w:color w:val="000000"/>
          <w:sz w:val="28"/>
          <w:szCs w:val="28"/>
        </w:rPr>
        <w:t>0</w:t>
      </w:r>
      <w:r w:rsidR="008C7A0F">
        <w:rPr>
          <w:rFonts w:ascii="Times New Roman" w:hAnsi="Times New Roman"/>
          <w:color w:val="000000"/>
          <w:sz w:val="28"/>
          <w:szCs w:val="28"/>
        </w:rPr>
        <w:t>6</w:t>
      </w:r>
      <w:r w:rsidRPr="00E24A29">
        <w:rPr>
          <w:rFonts w:ascii="Times New Roman" w:hAnsi="Times New Roman"/>
          <w:color w:val="000000"/>
          <w:sz w:val="28"/>
          <w:szCs w:val="28"/>
          <w:lang w:val="vi-VN"/>
        </w:rPr>
        <w:t>/</w:t>
      </w:r>
      <w:r w:rsidRPr="00E24A29">
        <w:rPr>
          <w:rFonts w:ascii="Times New Roman" w:hAnsi="Times New Roman"/>
          <w:color w:val="000000"/>
          <w:sz w:val="28"/>
          <w:szCs w:val="28"/>
        </w:rPr>
        <w:t>9</w:t>
      </w:r>
      <w:r w:rsidRPr="00E24A29">
        <w:rPr>
          <w:rFonts w:ascii="Times New Roman" w:hAnsi="Times New Roman"/>
          <w:color w:val="000000"/>
          <w:sz w:val="28"/>
          <w:szCs w:val="28"/>
          <w:lang w:val="vi-VN"/>
        </w:rPr>
        <w:t>/20</w:t>
      </w:r>
      <w:r w:rsidRPr="00E24A29">
        <w:rPr>
          <w:rFonts w:ascii="Times New Roman" w:hAnsi="Times New Roman"/>
          <w:color w:val="000000"/>
          <w:sz w:val="28"/>
          <w:szCs w:val="28"/>
        </w:rPr>
        <w:t>2</w:t>
      </w:r>
      <w:r w:rsidR="008C7A0F">
        <w:rPr>
          <w:rFonts w:ascii="Times New Roman" w:hAnsi="Times New Roman"/>
          <w:color w:val="000000"/>
          <w:sz w:val="28"/>
          <w:szCs w:val="28"/>
        </w:rPr>
        <w:t>4</w:t>
      </w:r>
      <w:r w:rsidRPr="00E24A29">
        <w:rPr>
          <w:rFonts w:ascii="Times New Roman" w:hAnsi="Times New Roman"/>
          <w:color w:val="000000"/>
          <w:sz w:val="28"/>
          <w:szCs w:val="28"/>
          <w:lang w:val="vi-VN"/>
        </w:rPr>
        <w:t xml:space="preserve"> của trường mầm non </w:t>
      </w:r>
      <w:proofErr w:type="spellStart"/>
      <w:r w:rsidR="00063C29">
        <w:rPr>
          <w:rFonts w:ascii="Times New Roman" w:hAnsi="Times New Roman"/>
          <w:color w:val="000000"/>
          <w:sz w:val="28"/>
          <w:szCs w:val="28"/>
        </w:rPr>
        <w:t>Bắc</w:t>
      </w:r>
      <w:proofErr w:type="spellEnd"/>
      <w:r w:rsidR="00063C2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3C29">
        <w:rPr>
          <w:rFonts w:ascii="Times New Roman" w:hAnsi="Times New Roman"/>
          <w:color w:val="000000"/>
          <w:sz w:val="28"/>
          <w:szCs w:val="28"/>
        </w:rPr>
        <w:t>Cầu</w:t>
      </w:r>
      <w:proofErr w:type="spellEnd"/>
      <w:r w:rsidRPr="00E24A29">
        <w:rPr>
          <w:rFonts w:ascii="Times New Roman" w:hAnsi="Times New Roman"/>
          <w:color w:val="000000"/>
          <w:sz w:val="28"/>
          <w:szCs w:val="28"/>
          <w:lang w:val="vi-VN"/>
        </w:rPr>
        <w:t xml:space="preserve"> về thực hiện nhiệm vụ năm học 20</w:t>
      </w:r>
      <w:r w:rsidRPr="00E24A29">
        <w:rPr>
          <w:rFonts w:ascii="Times New Roman" w:hAnsi="Times New Roman"/>
          <w:color w:val="000000"/>
          <w:sz w:val="28"/>
          <w:szCs w:val="28"/>
        </w:rPr>
        <w:t>2</w:t>
      </w:r>
      <w:r w:rsidR="008C7A0F">
        <w:rPr>
          <w:rFonts w:ascii="Times New Roman" w:hAnsi="Times New Roman"/>
          <w:color w:val="000000"/>
          <w:sz w:val="28"/>
          <w:szCs w:val="28"/>
        </w:rPr>
        <w:t>4</w:t>
      </w:r>
      <w:r w:rsidRPr="00E24A29">
        <w:rPr>
          <w:rFonts w:ascii="Times New Roman" w:hAnsi="Times New Roman"/>
          <w:color w:val="000000"/>
          <w:sz w:val="28"/>
          <w:szCs w:val="28"/>
          <w:lang w:val="vi-VN"/>
        </w:rPr>
        <w:t xml:space="preserve"> – 20</w:t>
      </w:r>
      <w:r w:rsidRPr="00E24A29">
        <w:rPr>
          <w:rFonts w:ascii="Times New Roman" w:hAnsi="Times New Roman"/>
          <w:color w:val="000000"/>
          <w:sz w:val="28"/>
          <w:szCs w:val="28"/>
        </w:rPr>
        <w:t>2</w:t>
      </w:r>
      <w:r w:rsidR="008C7A0F">
        <w:rPr>
          <w:rFonts w:ascii="Times New Roman" w:hAnsi="Times New Roman"/>
          <w:color w:val="000000"/>
          <w:sz w:val="28"/>
          <w:szCs w:val="28"/>
        </w:rPr>
        <w:t>5.</w:t>
      </w:r>
    </w:p>
    <w:p w:rsidR="00B056E6" w:rsidRPr="00F066A2" w:rsidRDefault="00B056E6" w:rsidP="00063C29">
      <w:pPr>
        <w:overflowPunct w:val="0"/>
        <w:autoSpaceDE w:val="0"/>
        <w:autoSpaceDN w:val="0"/>
        <w:adjustRightInd w:val="0"/>
        <w:spacing w:after="60" w:line="288" w:lineRule="auto"/>
        <w:ind w:firstLine="72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Căn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cứ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kế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hoạch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6A8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B8033C">
        <w:rPr>
          <w:rFonts w:ascii="Times New Roman" w:hAnsi="Times New Roman"/>
          <w:color w:val="000000" w:themeColor="text1"/>
          <w:sz w:val="28"/>
          <w:szCs w:val="28"/>
        </w:rPr>
        <w:t>/KH-MN</w:t>
      </w:r>
      <w:r w:rsidR="00063C29">
        <w:rPr>
          <w:rFonts w:ascii="Times New Roman" w:hAnsi="Times New Roman"/>
          <w:color w:val="000000" w:themeColor="text1"/>
          <w:sz w:val="28"/>
          <w:szCs w:val="28"/>
        </w:rPr>
        <w:t>BC</w:t>
      </w:r>
      <w:r w:rsidR="00B803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ngày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3C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0B1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95AC6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="00310B10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A26A8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AC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8C7A0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8033C">
        <w:rPr>
          <w:rFonts w:ascii="Times New Roman" w:hAnsi="Times New Roman"/>
          <w:color w:val="000000" w:themeColor="text1"/>
          <w:sz w:val="28"/>
          <w:szCs w:val="28"/>
        </w:rPr>
        <w:t>mầm</w:t>
      </w:r>
      <w:proofErr w:type="spellEnd"/>
      <w:r w:rsidR="00B8033C">
        <w:rPr>
          <w:rFonts w:ascii="Times New Roman" w:hAnsi="Times New Roman"/>
          <w:color w:val="000000" w:themeColor="text1"/>
          <w:sz w:val="28"/>
          <w:szCs w:val="28"/>
        </w:rPr>
        <w:t xml:space="preserve"> non </w:t>
      </w:r>
      <w:r w:rsidR="00063C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3C29">
        <w:rPr>
          <w:rFonts w:ascii="Times New Roman" w:hAnsi="Times New Roman"/>
          <w:color w:val="000000"/>
          <w:sz w:val="28"/>
          <w:szCs w:val="28"/>
        </w:rPr>
        <w:t>Bắc</w:t>
      </w:r>
      <w:proofErr w:type="spellEnd"/>
      <w:r w:rsidR="00063C2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3C29">
        <w:rPr>
          <w:rFonts w:ascii="Times New Roman" w:hAnsi="Times New Roman"/>
          <w:color w:val="000000"/>
          <w:sz w:val="28"/>
          <w:szCs w:val="28"/>
        </w:rPr>
        <w:t>Cầu</w:t>
      </w:r>
      <w:proofErr w:type="spellEnd"/>
      <w:r w:rsidR="00063C29" w:rsidRPr="00E24A29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B8033C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="00B803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8033C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="00B803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8033C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="00B8033C">
        <w:rPr>
          <w:rFonts w:ascii="Times New Roman" w:hAnsi="Times New Roman"/>
          <w:color w:val="000000" w:themeColor="text1"/>
          <w:sz w:val="28"/>
          <w:szCs w:val="28"/>
        </w:rPr>
        <w:t xml:space="preserve"> SKKN -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NCKH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8C7A0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7A0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8C7A0F">
        <w:rPr>
          <w:rFonts w:ascii="Times New Roman" w:hAnsi="Times New Roman"/>
          <w:color w:val="000000" w:themeColor="text1"/>
          <w:sz w:val="28"/>
          <w:szCs w:val="28"/>
        </w:rPr>
        <w:t>5.</w:t>
      </w:r>
    </w:p>
    <w:p w:rsidR="00B056E6" w:rsidRPr="00F066A2" w:rsidRDefault="00B056E6" w:rsidP="008A3381">
      <w:pPr>
        <w:spacing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Căn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cứ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kết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quả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chấm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mầm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non </w:t>
      </w:r>
      <w:proofErr w:type="spellStart"/>
      <w:r w:rsidR="00063C29">
        <w:rPr>
          <w:rFonts w:ascii="Times New Roman" w:hAnsi="Times New Roman"/>
          <w:color w:val="000000"/>
          <w:sz w:val="28"/>
          <w:szCs w:val="28"/>
        </w:rPr>
        <w:t>Bắc</w:t>
      </w:r>
      <w:proofErr w:type="spellEnd"/>
      <w:r w:rsidR="00063C2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3C29">
        <w:rPr>
          <w:rFonts w:ascii="Times New Roman" w:hAnsi="Times New Roman"/>
          <w:color w:val="000000"/>
          <w:sz w:val="28"/>
          <w:szCs w:val="28"/>
        </w:rPr>
        <w:t>Cầu</w:t>
      </w:r>
      <w:proofErr w:type="spellEnd"/>
      <w:r w:rsidR="00063C29" w:rsidRPr="00E24A29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báo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cáo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SKKN - NCKH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8C7A0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- 202</w:t>
      </w:r>
      <w:r w:rsidR="008C7A0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như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D7DB0" w:rsidRPr="00F066A2" w:rsidRDefault="007D7DB0" w:rsidP="008A3381">
      <w:pPr>
        <w:spacing w:before="120" w:after="120" w:line="288" w:lineRule="auto"/>
        <w:ind w:firstLine="43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I. Tình hình chung: </w:t>
      </w:r>
    </w:p>
    <w:p w:rsidR="007D7DB0" w:rsidRPr="00F066A2" w:rsidRDefault="007D7DB0" w:rsidP="008A3381">
      <w:pPr>
        <w:pStyle w:val="BodyTextIndent"/>
        <w:widowControl w:val="0"/>
        <w:spacing w:before="120" w:after="120" w:line="288" w:lineRule="auto"/>
        <w:ind w:firstLine="432"/>
        <w:rPr>
          <w:rFonts w:ascii="Times New Roman" w:hAnsi="Times New Roman"/>
          <w:iCs/>
          <w:color w:val="000000" w:themeColor="text1"/>
          <w:szCs w:val="28"/>
        </w:rPr>
      </w:pPr>
      <w:r w:rsidRPr="00F066A2">
        <w:rPr>
          <w:rFonts w:ascii="Times New Roman" w:hAnsi="Times New Roman"/>
          <w:iCs/>
          <w:color w:val="000000" w:themeColor="text1"/>
          <w:szCs w:val="28"/>
        </w:rPr>
        <w:tab/>
      </w:r>
      <w:proofErr w:type="spellStart"/>
      <w:proofErr w:type="gramStart"/>
      <w:r w:rsidRPr="00F066A2">
        <w:rPr>
          <w:rFonts w:ascii="Times New Roman" w:hAnsi="Times New Roman"/>
          <w:iCs/>
          <w:color w:val="000000" w:themeColor="text1"/>
          <w:szCs w:val="28"/>
        </w:rPr>
        <w:t>Năm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học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202</w:t>
      </w:r>
      <w:r w:rsidR="00CD199A">
        <w:rPr>
          <w:rFonts w:ascii="Times New Roman" w:hAnsi="Times New Roman"/>
          <w:iCs/>
          <w:color w:val="000000" w:themeColor="text1"/>
          <w:szCs w:val="28"/>
        </w:rPr>
        <w:t>4</w:t>
      </w:r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– 202</w:t>
      </w:r>
      <w:r w:rsidR="00CD199A">
        <w:rPr>
          <w:rFonts w:ascii="Times New Roman" w:hAnsi="Times New Roman"/>
          <w:iCs/>
          <w:color w:val="000000" w:themeColor="text1"/>
          <w:szCs w:val="28"/>
        </w:rPr>
        <w:t>5</w:t>
      </w:r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trường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MN </w:t>
      </w:r>
      <w:proofErr w:type="spellStart"/>
      <w:r w:rsidR="00063C29">
        <w:rPr>
          <w:rFonts w:ascii="Times New Roman" w:hAnsi="Times New Roman"/>
          <w:color w:val="000000"/>
          <w:szCs w:val="28"/>
        </w:rPr>
        <w:t>Bắc</w:t>
      </w:r>
      <w:proofErr w:type="spellEnd"/>
      <w:r w:rsidR="00063C2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063C29">
        <w:rPr>
          <w:rFonts w:ascii="Times New Roman" w:hAnsi="Times New Roman"/>
          <w:color w:val="000000"/>
          <w:szCs w:val="28"/>
        </w:rPr>
        <w:t>Cầu</w:t>
      </w:r>
      <w:proofErr w:type="spellEnd"/>
      <w:r w:rsidR="00063C29" w:rsidRPr="00E24A29">
        <w:rPr>
          <w:rFonts w:ascii="Times New Roman" w:hAnsi="Times New Roman"/>
          <w:color w:val="000000"/>
          <w:szCs w:val="28"/>
          <w:lang w:val="vi-VN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đã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xây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dựng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và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phổ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biến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kế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hoạch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phát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động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phong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trào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viết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tới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toàn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thể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CBGVNV.</w:t>
      </w:r>
      <w:proofErr w:type="gram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proofErr w:type="gramStart"/>
      <w:r w:rsidRPr="00F066A2">
        <w:rPr>
          <w:rFonts w:ascii="Times New Roman" w:hAnsi="Times New Roman"/>
          <w:iCs/>
          <w:color w:val="000000" w:themeColor="text1"/>
          <w:szCs w:val="28"/>
        </w:rPr>
        <w:t>Để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đạt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hiệu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quả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của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mỗi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và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nêu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cao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ý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thức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đầu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tư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nghiên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cứu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và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viết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đúc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rút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nhà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trường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đã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triển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khai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bước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như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sau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>.</w:t>
      </w:r>
      <w:proofErr w:type="gramEnd"/>
    </w:p>
    <w:p w:rsidR="007D7DB0" w:rsidRPr="00F066A2" w:rsidRDefault="007D7DB0" w:rsidP="008A3381">
      <w:pPr>
        <w:pStyle w:val="BodyTextIndent"/>
        <w:widowControl w:val="0"/>
        <w:spacing w:before="120" w:after="120" w:line="288" w:lineRule="auto"/>
        <w:ind w:firstLine="432"/>
        <w:rPr>
          <w:rFonts w:ascii="Times New Roman" w:hAnsi="Times New Roman"/>
          <w:iCs/>
          <w:color w:val="000000" w:themeColor="text1"/>
          <w:szCs w:val="28"/>
        </w:rPr>
      </w:pPr>
      <w:r w:rsidRPr="00F066A2">
        <w:rPr>
          <w:rFonts w:ascii="Times New Roman" w:hAnsi="Times New Roman"/>
          <w:iCs/>
          <w:color w:val="000000" w:themeColor="text1"/>
          <w:szCs w:val="28"/>
        </w:rPr>
        <w:tab/>
        <w:t xml:space="preserve">1.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Nhà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trường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đã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xây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dựng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kế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hoạch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và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phố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biến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tuyên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truyền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và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phát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động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phong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trào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thi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đua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để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CBGVNV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có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định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hướng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lựa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chọn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đề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tài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và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đầu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tư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viết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như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: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Viết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về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công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quản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lý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công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chăm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sóc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nuôi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dưỡng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công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giáo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dục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trẻ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ở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lĩnh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vực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khác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nhau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>....</w:t>
      </w:r>
    </w:p>
    <w:p w:rsidR="007D7DB0" w:rsidRPr="00F066A2" w:rsidRDefault="007D7DB0" w:rsidP="008A3381">
      <w:pPr>
        <w:pStyle w:val="BodyTextIndent"/>
        <w:widowControl w:val="0"/>
        <w:spacing w:before="120" w:after="120" w:line="288" w:lineRule="auto"/>
        <w:ind w:firstLine="432"/>
        <w:rPr>
          <w:rFonts w:ascii="Times New Roman" w:hAnsi="Times New Roman"/>
          <w:iCs/>
          <w:color w:val="000000" w:themeColor="text1"/>
          <w:szCs w:val="28"/>
        </w:rPr>
      </w:pPr>
      <w:r w:rsidRPr="00F066A2">
        <w:rPr>
          <w:rFonts w:ascii="Times New Roman" w:hAnsi="Times New Roman"/>
          <w:iCs/>
          <w:color w:val="000000" w:themeColor="text1"/>
          <w:szCs w:val="28"/>
        </w:rPr>
        <w:tab/>
        <w:t xml:space="preserve">2.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Tổ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chức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phát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huy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được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xếp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loại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A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cấp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trường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năm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học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20</w:t>
      </w:r>
      <w:r w:rsidR="00CF09C8" w:rsidRPr="00F066A2">
        <w:rPr>
          <w:rFonts w:ascii="Times New Roman" w:hAnsi="Times New Roman"/>
          <w:iCs/>
          <w:color w:val="000000" w:themeColor="text1"/>
          <w:szCs w:val="28"/>
        </w:rPr>
        <w:t>2</w:t>
      </w:r>
      <w:r w:rsidR="00CD199A">
        <w:rPr>
          <w:rFonts w:ascii="Times New Roman" w:hAnsi="Times New Roman"/>
          <w:iCs/>
          <w:color w:val="000000" w:themeColor="text1"/>
          <w:szCs w:val="28"/>
        </w:rPr>
        <w:t>4</w:t>
      </w:r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– 202</w:t>
      </w:r>
      <w:r w:rsidR="00CD199A">
        <w:rPr>
          <w:rFonts w:ascii="Times New Roman" w:hAnsi="Times New Roman"/>
          <w:iCs/>
          <w:color w:val="000000" w:themeColor="text1"/>
          <w:szCs w:val="28"/>
        </w:rPr>
        <w:t>5</w:t>
      </w:r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tới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toàn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thể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CBGVNV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trong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trường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qua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buổi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sinh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hoạt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chuyên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môn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đăng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tải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bài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viết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lên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trang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Web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của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trường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, in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bản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để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tại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phòng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chuyên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môn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để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CBGVNV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đọc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tham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khảo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.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Xây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dựng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proofErr w:type="gramStart"/>
      <w:r w:rsidRPr="00F066A2">
        <w:rPr>
          <w:rFonts w:ascii="Times New Roman" w:hAnsi="Times New Roman"/>
          <w:iCs/>
          <w:color w:val="000000" w:themeColor="text1"/>
          <w:szCs w:val="28"/>
        </w:rPr>
        <w:t>thư</w:t>
      </w:r>
      <w:proofErr w:type="spellEnd"/>
      <w:proofErr w:type="gram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viện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góc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sưu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tầm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các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đạt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giải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để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CBGVNV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xem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tìm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hiểu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tham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khảo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để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có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kỹ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năng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Cs w:val="28"/>
        </w:rPr>
        <w:t>viết</w:t>
      </w:r>
      <w:proofErr w:type="spellEnd"/>
      <w:r w:rsidRPr="00F066A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7D7DB0" w:rsidRPr="00F066A2" w:rsidRDefault="007D7DB0" w:rsidP="008A3381">
      <w:pPr>
        <w:tabs>
          <w:tab w:val="left" w:pos="450"/>
        </w:tabs>
        <w:spacing w:before="120" w:after="120" w:line="288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ab/>
      </w:r>
      <w:r w:rsidRPr="00F066A2">
        <w:rPr>
          <w:rFonts w:ascii="Times New Roman" w:hAnsi="Times New Roman"/>
          <w:iCs/>
          <w:color w:val="000000" w:themeColor="text1"/>
          <w:sz w:val="28"/>
          <w:szCs w:val="28"/>
        </w:rPr>
        <w:tab/>
        <w:t xml:space="preserve">3. </w:t>
      </w:r>
      <w:proofErr w:type="spellStart"/>
      <w:r w:rsidRPr="00F066A2">
        <w:rPr>
          <w:rFonts w:ascii="Times New Roman" w:hAnsi="Times New Roman"/>
          <w:iCs/>
          <w:color w:val="000000" w:themeColor="text1"/>
          <w:sz w:val="28"/>
          <w:szCs w:val="28"/>
        </w:rPr>
        <w:t>Mỗi</w:t>
      </w:r>
      <w:proofErr w:type="spellEnd"/>
      <w:r w:rsidRPr="00F066A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 w:val="28"/>
          <w:szCs w:val="28"/>
        </w:rPr>
        <w:t>cá</w:t>
      </w:r>
      <w:proofErr w:type="spellEnd"/>
      <w:r w:rsidRPr="00F066A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iCs/>
          <w:color w:val="000000" w:themeColor="text1"/>
          <w:sz w:val="28"/>
          <w:szCs w:val="28"/>
        </w:rPr>
        <w:t>nhận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đăng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ký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viết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tài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NCKH</w:t>
      </w:r>
      <w:r w:rsidR="00320029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20029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SKKN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với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chuyên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môn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đầu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tài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được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viết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sổ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chất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lượng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lớp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chuyên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môn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tổng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hợp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danh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sách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tài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đăng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ký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D7DB0" w:rsidRPr="00F066A2" w:rsidRDefault="00486688" w:rsidP="008A3381">
      <w:pPr>
        <w:tabs>
          <w:tab w:val="left" w:pos="450"/>
        </w:tabs>
        <w:spacing w:before="120" w:after="120" w:line="288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  <w:t xml:space="preserve">4.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5B5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F4750" w:rsidRPr="00F066A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CD199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>chức</w:t>
      </w:r>
      <w:proofErr w:type="spellEnd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>chấm</w:t>
      </w:r>
      <w:proofErr w:type="spellEnd"/>
      <w:r w:rsidR="007D7DB0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SKKN:</w:t>
      </w:r>
    </w:p>
    <w:p w:rsidR="007D7DB0" w:rsidRPr="00F066A2" w:rsidRDefault="007D7DB0" w:rsidP="008A3381">
      <w:pPr>
        <w:tabs>
          <w:tab w:val="left" w:pos="450"/>
        </w:tabs>
        <w:spacing w:before="120" w:after="120" w:line="288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báo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tới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toàn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thể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CBGVNV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chí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nào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viết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bài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nộp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cùng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minh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chứng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chứng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minh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tính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quả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tính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tiễn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</w:rPr>
        <w:t>sáng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</w:rPr>
        <w:t>kiến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</w:rPr>
        <w:t>chuyên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</w:rPr>
        <w:t>môn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D7DB0" w:rsidRPr="00F066A2" w:rsidRDefault="007D7DB0" w:rsidP="008A3381">
      <w:pPr>
        <w:tabs>
          <w:tab w:val="left" w:pos="450"/>
        </w:tabs>
        <w:spacing w:before="120" w:after="120" w:line="288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lập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chấm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SKKN (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chuyên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môn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):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nhiệm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vụ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thẩm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tính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quả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đánh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giá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xếp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loại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SKKN,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tổng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hợp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gửi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kết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quả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lên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khoa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cấp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D7DB0" w:rsidRPr="00F066A2" w:rsidRDefault="007D7DB0" w:rsidP="008A3381">
      <w:pPr>
        <w:tabs>
          <w:tab w:val="left" w:pos="450"/>
        </w:tabs>
        <w:spacing w:before="120" w:after="120" w:line="288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lập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khoa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cấp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nhiệm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vụ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chức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giám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sát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đánh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giá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thẩm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xếp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loại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những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được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chuyên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môn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xếp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loại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A.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Họp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khoa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thống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nhất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với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chấm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SKKN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bố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kết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quả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tới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toàn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thể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CBGVNV. </w:t>
      </w:r>
    </w:p>
    <w:p w:rsidR="007D7DB0" w:rsidRPr="00F066A2" w:rsidRDefault="007D7DB0" w:rsidP="008A3381">
      <w:pPr>
        <w:tabs>
          <w:tab w:val="left" w:pos="450"/>
        </w:tabs>
        <w:spacing w:before="120" w:after="120" w:line="288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es-BO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-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Tổng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hợp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SKKN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được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xếp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loại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A</w:t>
      </w:r>
      <w:r w:rsidRPr="00F066A2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cấp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năm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202</w:t>
      </w:r>
      <w:r w:rsidR="00656B45">
        <w:rPr>
          <w:rFonts w:ascii="Times New Roman" w:hAnsi="Times New Roman"/>
          <w:color w:val="000000" w:themeColor="text1"/>
          <w:sz w:val="28"/>
          <w:szCs w:val="28"/>
          <w:lang w:val="es-BO"/>
        </w:rPr>
        <w:t>4</w:t>
      </w:r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– 202</w:t>
      </w:r>
      <w:r w:rsidR="00656B45">
        <w:rPr>
          <w:rFonts w:ascii="Times New Roman" w:hAnsi="Times New Roman"/>
          <w:color w:val="000000" w:themeColor="text1"/>
          <w:sz w:val="28"/>
          <w:szCs w:val="28"/>
          <w:lang w:val="es-BO"/>
        </w:rPr>
        <w:t>5</w:t>
      </w:r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gửi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dự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thi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cấp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quận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>.</w:t>
      </w:r>
    </w:p>
    <w:p w:rsidR="007D7DB0" w:rsidRPr="00F066A2" w:rsidRDefault="007D7DB0" w:rsidP="008A3381">
      <w:pPr>
        <w:spacing w:before="120" w:after="120" w:line="288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  <w:lang w:val="es-BO"/>
        </w:rPr>
        <w:tab/>
      </w:r>
      <w:r w:rsidRPr="00F066A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II. Số liệu thống kê: </w:t>
      </w:r>
      <w:r w:rsidR="00486688" w:rsidRPr="00F066A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2A7078">
        <w:rPr>
          <w:rFonts w:ascii="Times New Roman" w:hAnsi="Times New Roman"/>
          <w:b/>
          <w:sz w:val="28"/>
          <w:szCs w:val="28"/>
        </w:rPr>
        <w:t>1</w:t>
      </w:r>
      <w:r w:rsidR="00384125">
        <w:rPr>
          <w:rFonts w:ascii="Times New Roman" w:hAnsi="Times New Roman"/>
          <w:b/>
          <w:sz w:val="28"/>
          <w:szCs w:val="28"/>
        </w:rPr>
        <w:t>0</w:t>
      </w:r>
      <w:r w:rsidRPr="00F06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đ/c </w:t>
      </w:r>
      <w:proofErr w:type="spellStart"/>
      <w:r w:rsidRPr="00F066A2">
        <w:rPr>
          <w:rFonts w:ascii="Times New Roman" w:hAnsi="Times New Roman"/>
          <w:b/>
          <w:color w:val="000000" w:themeColor="text1"/>
          <w:sz w:val="28"/>
          <w:szCs w:val="28"/>
        </w:rPr>
        <w:t>viết</w:t>
      </w:r>
      <w:proofErr w:type="spellEnd"/>
      <w:r w:rsidRPr="00F06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SKKN)</w:t>
      </w:r>
    </w:p>
    <w:p w:rsidR="007D7DB0" w:rsidRPr="00F066A2" w:rsidRDefault="007D7DB0" w:rsidP="008A3381">
      <w:pPr>
        <w:spacing w:before="120" w:after="120" w:line="288" w:lineRule="auto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vi-VN"/>
        </w:rPr>
        <w:t>Bảng 1: Kết quả chấm SKKN của đơn vị</w:t>
      </w:r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năm</w:t>
      </w:r>
      <w:proofErr w:type="spellEnd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học</w:t>
      </w:r>
      <w:proofErr w:type="spellEnd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202</w:t>
      </w:r>
      <w:r w:rsidR="00763448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4</w:t>
      </w:r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- 202</w:t>
      </w:r>
      <w:r w:rsidR="00763448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tbl>
      <w:tblPr>
        <w:tblW w:w="9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152"/>
        <w:gridCol w:w="725"/>
        <w:gridCol w:w="1134"/>
        <w:gridCol w:w="706"/>
        <w:gridCol w:w="1136"/>
        <w:gridCol w:w="574"/>
        <w:gridCol w:w="986"/>
        <w:gridCol w:w="724"/>
        <w:gridCol w:w="599"/>
      </w:tblGrid>
      <w:tr w:rsidR="004D4394" w:rsidRPr="00F066A2" w:rsidTr="002A7078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Tổng số cán bộ, GV, NV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SKKN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</w:t>
            </w:r>
          </w:p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</w:t>
            </w:r>
          </w:p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</w:t>
            </w:r>
          </w:p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</w:p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394" w:rsidRPr="00F066A2" w:rsidTr="002A7078">
        <w:trPr>
          <w:trHeight w:val="3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(SL)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SL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E11916" w:rsidRPr="00F066A2" w:rsidTr="002A7078">
        <w:trPr>
          <w:trHeight w:val="3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063C29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063C29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FB3AAF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FB3AAF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D7121C" w:rsidRPr="00F06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7DB0" w:rsidRPr="00F066A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FB3AAF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FB3AAF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D7121C" w:rsidRPr="00F06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7DB0" w:rsidRPr="00F066A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9C1BD9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9C1BD9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0</w:t>
            </w:r>
            <w:r w:rsidR="007D7DB0" w:rsidRPr="00F066A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7D7DB0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DB0" w:rsidRPr="00F066A2" w:rsidRDefault="00476531" w:rsidP="008A3381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D7DB0" w:rsidRPr="00F066A2" w:rsidRDefault="007D7DB0" w:rsidP="008A3381">
      <w:pPr>
        <w:tabs>
          <w:tab w:val="left" w:pos="545"/>
        </w:tabs>
        <w:spacing w:before="240" w:after="240" w:line="288" w:lineRule="auto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         </w:t>
      </w:r>
      <w:proofErr w:type="spellStart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Bảng</w:t>
      </w:r>
      <w:proofErr w:type="spellEnd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2: </w:t>
      </w:r>
      <w:proofErr w:type="spellStart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Hoạt</w:t>
      </w:r>
      <w:proofErr w:type="spellEnd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động</w:t>
      </w:r>
      <w:proofErr w:type="spellEnd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phổ</w:t>
      </w:r>
      <w:proofErr w:type="spellEnd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bi</w:t>
      </w:r>
      <w:r w:rsidR="00355FC4"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ến</w:t>
      </w:r>
      <w:proofErr w:type="spellEnd"/>
      <w:r w:rsidR="00355FC4"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="00355FC4"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ứng</w:t>
      </w:r>
      <w:proofErr w:type="spellEnd"/>
      <w:r w:rsidR="00355FC4"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355FC4"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dụng</w:t>
      </w:r>
      <w:proofErr w:type="spellEnd"/>
      <w:r w:rsidR="00355FC4"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 SKKN</w:t>
      </w:r>
      <w:proofErr w:type="gramEnd"/>
      <w:r w:rsidR="00355FC4" w:rsidRPr="00F06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tbl>
      <w:tblPr>
        <w:tblW w:w="913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583"/>
        <w:gridCol w:w="4353"/>
        <w:gridCol w:w="1200"/>
        <w:gridCol w:w="1440"/>
        <w:gridCol w:w="1560"/>
      </w:tblGrid>
      <w:tr w:rsidR="004D4394" w:rsidRPr="00F066A2" w:rsidTr="00183809">
        <w:trPr>
          <w:trHeight w:val="3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B0" w:rsidRPr="00F066A2" w:rsidRDefault="007D7DB0" w:rsidP="008A338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B0" w:rsidRPr="00F066A2" w:rsidRDefault="007D7DB0" w:rsidP="008A338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SKKN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phổ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biến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B0" w:rsidRPr="00F066A2" w:rsidRDefault="007D7DB0" w:rsidP="008A338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Lĩnh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B0" w:rsidRPr="00F066A2" w:rsidRDefault="007D7DB0" w:rsidP="008A338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B0" w:rsidRPr="00F066A2" w:rsidRDefault="007D7DB0" w:rsidP="008A338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6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</w:tr>
      <w:tr w:rsidR="006F4750" w:rsidRPr="00A75500" w:rsidTr="003F3EC9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50" w:rsidRPr="00F066A2" w:rsidRDefault="006F4750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50" w:rsidRPr="00FB3AAF" w:rsidRDefault="00FB3AA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3AAF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Một số kinh nghiệm tăng cường chỉ đạo xây dựng môi trường giáo dục lấy trẻ làm trung tâm</w:t>
            </w:r>
            <w:r w:rsidRPr="00FB3AA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FB3AAF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tại trường mầm non Bắc Cầu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50" w:rsidRPr="00A75500" w:rsidRDefault="006F4750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500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A75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5500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50" w:rsidRPr="00A75500" w:rsidRDefault="00CD316D" w:rsidP="00CD316D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</w:t>
            </w:r>
            <w:r w:rsidR="006F4750" w:rsidRPr="00A75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50" w:rsidRPr="00A75500" w:rsidRDefault="00C969EB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B3AAF" w:rsidRPr="00A75500" w:rsidTr="003F3EC9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D7352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Một</w:t>
            </w:r>
            <w:proofErr w:type="spellEnd"/>
            <w:r w:rsidRPr="00FB3AAF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số</w:t>
            </w:r>
            <w:proofErr w:type="spellEnd"/>
            <w:r w:rsidRPr="00FB3AAF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kinh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nghiệm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kích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thích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trẻ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mẫu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bé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3-4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tuổi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hứng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thú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tham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gia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hoạt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động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tạo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hình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tại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trường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mầm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non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Bắc</w:t>
            </w:r>
            <w:proofErr w:type="spellEnd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-8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GDMG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C969EB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B3AAF" w:rsidRPr="00A75500" w:rsidTr="003F3EC9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D7352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3AAF">
              <w:rPr>
                <w:rFonts w:ascii="Times New Roman" w:hAnsi="Times New Roman"/>
                <w:sz w:val="28"/>
                <w:szCs w:val="28"/>
                <w:lang w:val="nl-NL"/>
              </w:rPr>
              <w:t>Một số kinh nghiệm xây dựng lớp học hạnh phúc tại lớp mẫu giáo nhỡ 4-5 tuổi tại trường mầm non Bắc Cầu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FB3AAF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GDMG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C969EB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B3AAF" w:rsidRPr="00A75500" w:rsidTr="003F3EC9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D7352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3AAF">
              <w:rPr>
                <w:rFonts w:ascii="Times New Roman" w:hAnsi="Times New Roman"/>
                <w:sz w:val="28"/>
                <w:szCs w:val="28"/>
                <w:lang w:val="pt-BR"/>
              </w:rPr>
              <w:t>Một số kinh nghiệm nhằm giúp trẻ 24-36 tháng tuổi tích cực tham gia hoạt động với đồ vật tại trường mầm non Bắc Cầu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FB3AAF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GD</w:t>
            </w:r>
            <w:r>
              <w:rPr>
                <w:rFonts w:ascii="Times New Roman" w:hAnsi="Times New Roman"/>
                <w:sz w:val="28"/>
                <w:szCs w:val="28"/>
              </w:rPr>
              <w:t>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BGH, GV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C969EB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B3AAF" w:rsidRPr="00A75500" w:rsidTr="006F4750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301179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3AAF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Một số kinh nghiệm nhằm nâng cao chất lượng chăm sóc, nuôi dưỡng trẻ </w:t>
            </w:r>
            <w:r w:rsidR="0030117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tại</w:t>
            </w:r>
            <w:r w:rsidRPr="00FB3AAF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trường mầm non Bắc Cầu.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CSND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C969EB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BGH, GV</w:t>
            </w:r>
            <w:r w:rsidR="00DA7F34">
              <w:rPr>
                <w:rFonts w:ascii="Times New Roman" w:hAnsi="Times New Roman"/>
                <w:sz w:val="28"/>
                <w:szCs w:val="28"/>
              </w:rPr>
              <w:t>, 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DA7F34" w:rsidP="006F4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FB3AAF" w:rsidRPr="00A75500" w:rsidTr="006F4750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D7352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3AAF">
              <w:rPr>
                <w:rFonts w:ascii="Times New Roman" w:hAnsi="Times New Roman"/>
                <w:sz w:val="28"/>
                <w:szCs w:val="28"/>
                <w:lang w:val="pt-BR"/>
              </w:rPr>
              <w:t>Một số giải pháp nâng cao chất lượng sinh hoạt tổ khối chuyên môn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C969EB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DA7F34" w:rsidP="00DA7F34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</w:t>
            </w:r>
            <w:r w:rsidR="00C969EB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DA7F34" w:rsidP="006F4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B3AAF" w:rsidRPr="00A75500" w:rsidTr="006F4750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D7352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đảm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bảo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vệ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sinh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an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toàn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phẩm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nâng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cao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chất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lượng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bữa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ăn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trẻ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trường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mầm</w:t>
            </w:r>
            <w:proofErr w:type="spellEnd"/>
            <w:r w:rsidRPr="00FB3AAF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non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C969EB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BGH, GV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C969EB" w:rsidP="006F4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B3AAF" w:rsidRPr="00A75500" w:rsidTr="00FB555A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D73521">
            <w:pPr>
              <w:spacing w:line="312" w:lineRule="auto"/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proofErr w:type="spellStart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biện</w:t>
            </w:r>
            <w:proofErr w:type="spellEnd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phòng tránh xâm hại cho trẻ 5-6 tuổi trong trường mầm </w:t>
            </w:r>
            <w:proofErr w:type="gramStart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vi-VN"/>
              </w:rPr>
              <w:t>non</w:t>
            </w:r>
            <w:proofErr w:type="gramEnd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GDMG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BGH, GV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DA7F34" w:rsidP="006F4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B3AAF" w:rsidRPr="00A75500" w:rsidTr="00FB555A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D73521">
            <w:pPr>
              <w:spacing w:line="288" w:lineRule="auto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Một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số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biện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pháp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giáo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dục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lòng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biết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ơn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cho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trẻ</w:t>
            </w:r>
            <w:proofErr w:type="spellEnd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  <w:lang w:val="vi-VN"/>
              </w:rPr>
              <w:t xml:space="preserve"> </w:t>
            </w:r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MGL</w:t>
            </w:r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  <w:lang w:val="vi-VN"/>
              </w:rPr>
              <w:t xml:space="preserve"> </w:t>
            </w:r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5 -6 </w:t>
            </w:r>
            <w:proofErr w:type="spellStart"/>
            <w:r w:rsidRPr="00FB3AAF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GDMG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BGH, GV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Default="00DA7F34" w:rsidP="006F4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B3AAF" w:rsidRPr="00A75500" w:rsidTr="00FB555A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066A2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FB3AAF" w:rsidRDefault="00FB3AAF" w:rsidP="00D7352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số giải pháp giáo dục trẻ 5-6 tuổi kỹ năng tự bảo vệ và đảm bảo </w:t>
            </w:r>
            <w:proofErr w:type="gramStart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vi-VN"/>
              </w:rPr>
              <w:t>an</w:t>
            </w:r>
            <w:proofErr w:type="gramEnd"/>
            <w:r w:rsidRPr="00FB3AAF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toàn cho bản thân tại trường mầm non.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Default="00FB3AAF" w:rsidP="008A338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CSND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Pr="00A75500" w:rsidRDefault="00FB3AAF" w:rsidP="00DA7F34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500">
              <w:rPr>
                <w:rFonts w:ascii="Times New Roman" w:hAnsi="Times New Roman"/>
                <w:sz w:val="28"/>
                <w:szCs w:val="28"/>
              </w:rPr>
              <w:t>BGH, GV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AF" w:rsidRDefault="00DA7F34" w:rsidP="006F4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7D7DB0" w:rsidRPr="00F066A2" w:rsidRDefault="007D7DB0" w:rsidP="008A3381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4D4394" w:rsidRPr="00F066A2" w:rsidRDefault="006A5953" w:rsidP="008A3381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I</w:t>
      </w:r>
      <w:r w:rsidR="0040510E"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II</w:t>
      </w:r>
      <w:r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giá</w:t>
      </w:r>
      <w:proofErr w:type="spellEnd"/>
      <w:r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chung</w:t>
      </w:r>
      <w:proofErr w:type="spellEnd"/>
      <w:proofErr w:type="gramEnd"/>
      <w:r w:rsidRPr="00F066A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4D4394" w:rsidRPr="00F066A2" w:rsidRDefault="006A5953" w:rsidP="008A3381">
      <w:pPr>
        <w:spacing w:before="120"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Ưu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điểm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4D4394" w:rsidRPr="00F066A2" w:rsidRDefault="006A5953" w:rsidP="008A3381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4D4394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proofErr w:type="gram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ứng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nghiêm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túc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nghiên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cứu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viết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SKKN.</w:t>
      </w:r>
    </w:p>
    <w:p w:rsidR="00776F05" w:rsidRPr="00F066A2" w:rsidRDefault="006A5953" w:rsidP="008A3381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nghiê</w:t>
      </w:r>
      <w:r w:rsidR="00CF09C8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cứu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tư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chất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xám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SKKN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cấu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trúc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bày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qui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D4394" w:rsidRPr="00F066A2" w:rsidRDefault="00776F05" w:rsidP="008A3381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proofErr w:type="gram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nêu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bật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do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thiết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đề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tài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biện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lựa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chọn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phù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áp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minh</w:t>
      </w:r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chứng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thuyết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phục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phản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ánh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tiễn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="006A5953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D4394" w:rsidRPr="00F066A2" w:rsidRDefault="006A5953" w:rsidP="008A3381">
      <w:pPr>
        <w:spacing w:before="120"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Hạn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chế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4D4394" w:rsidRPr="00F066A2" w:rsidRDefault="006A5953" w:rsidP="008A3381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dung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biện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chưa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khoa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mới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chưa</w:t>
      </w:r>
      <w:proofErr w:type="spellEnd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6F05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A5953" w:rsidRPr="00F066A2" w:rsidRDefault="006A5953" w:rsidP="008A3381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SKKN 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4394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202</w:t>
      </w:r>
      <w:r w:rsidR="0076344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</w:t>
      </w:r>
      <w:r w:rsidR="004D4394"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- 202</w:t>
      </w:r>
      <w:r w:rsidR="0076344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</w:t>
      </w:r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Mầm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non </w:t>
      </w:r>
      <w:proofErr w:type="spellStart"/>
      <w:r w:rsidR="00FB3A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Bắc</w:t>
      </w:r>
      <w:proofErr w:type="spellEnd"/>
      <w:r w:rsidR="00FB3A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3A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Kính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mong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chỉ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đạo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đỡ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lãnh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đạo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6A5953" w:rsidRPr="00F066A2" w:rsidRDefault="006A5953" w:rsidP="008A3381">
      <w:pPr>
        <w:spacing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D7DB0" w:rsidRPr="00F066A2" w:rsidRDefault="007D7DB0" w:rsidP="008A3381">
      <w:pPr>
        <w:spacing w:line="288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b/>
          <w:color w:val="000000" w:themeColor="text1"/>
          <w:sz w:val="28"/>
          <w:szCs w:val="28"/>
        </w:rPr>
        <w:t>Nơi</w:t>
      </w:r>
      <w:proofErr w:type="spellEnd"/>
      <w:r w:rsidRPr="00F06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66A2">
        <w:rPr>
          <w:rFonts w:ascii="Times New Roman" w:hAnsi="Times New Roman"/>
          <w:b/>
          <w:color w:val="000000" w:themeColor="text1"/>
          <w:sz w:val="28"/>
          <w:szCs w:val="28"/>
        </w:rPr>
        <w:t>nhận</w:t>
      </w:r>
      <w:proofErr w:type="spellEnd"/>
      <w:r w:rsidRPr="00F066A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Pr="00F066A2">
        <w:rPr>
          <w:rFonts w:ascii="Times New Roman" w:hAnsi="Times New Roman"/>
          <w:b/>
          <w:color w:val="000000" w:themeColor="text1"/>
          <w:sz w:val="28"/>
          <w:szCs w:val="28"/>
        </w:rPr>
        <w:t>HIỆU TRƯỞNG</w:t>
      </w:r>
    </w:p>
    <w:p w:rsidR="007D7DB0" w:rsidRPr="00F066A2" w:rsidRDefault="007D7DB0" w:rsidP="008A3381">
      <w:pPr>
        <w:spacing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GD&amp;ĐT-</w:t>
      </w:r>
      <w:proofErr w:type="spellStart"/>
      <w:r w:rsidRPr="00F066A2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Pr="00F066A2">
        <w:rPr>
          <w:rFonts w:ascii="Times New Roman" w:hAnsi="Times New Roman"/>
          <w:color w:val="000000" w:themeColor="text1"/>
          <w:sz w:val="28"/>
          <w:szCs w:val="28"/>
        </w:rPr>
        <w:t xml:space="preserve"> BC;</w:t>
      </w:r>
    </w:p>
    <w:p w:rsidR="007D7DB0" w:rsidRPr="00F066A2" w:rsidRDefault="00C67D8A" w:rsidP="00C67D8A">
      <w:pPr>
        <w:spacing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Lưu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VP                                                                                 </w:t>
      </w:r>
      <w:r w:rsidRPr="00C67D8A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spellStart"/>
      <w:r w:rsidRPr="00C67D8A">
        <w:rPr>
          <w:rFonts w:ascii="Times New Roman" w:hAnsi="Times New Roman"/>
          <w:i/>
          <w:color w:val="000000" w:themeColor="text1"/>
          <w:sz w:val="28"/>
          <w:szCs w:val="28"/>
        </w:rPr>
        <w:t>Đã</w:t>
      </w:r>
      <w:proofErr w:type="spellEnd"/>
      <w:r w:rsidRPr="00C67D8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C67D8A">
        <w:rPr>
          <w:rFonts w:ascii="Times New Roman" w:hAnsi="Times New Roman"/>
          <w:i/>
          <w:color w:val="000000" w:themeColor="text1"/>
          <w:sz w:val="28"/>
          <w:szCs w:val="28"/>
        </w:rPr>
        <w:t>ký</w:t>
      </w:r>
      <w:proofErr w:type="spellEnd"/>
      <w:r w:rsidRPr="00C67D8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:rsidR="007D7DB0" w:rsidRPr="00F066A2" w:rsidRDefault="007D7DB0" w:rsidP="008A3381">
      <w:pPr>
        <w:spacing w:line="288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D7DB0" w:rsidRPr="00F066A2" w:rsidRDefault="00FB3AAF" w:rsidP="00FB3AAF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r w:rsidR="00DA7F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</w:t>
      </w:r>
      <w:r w:rsidR="00C67D8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="00DA7F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Ngô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Hoài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Phương</w:t>
      </w:r>
      <w:proofErr w:type="spellEnd"/>
    </w:p>
    <w:p w:rsidR="007D7DB0" w:rsidRPr="00F066A2" w:rsidRDefault="007D7DB0" w:rsidP="008A3381">
      <w:pPr>
        <w:spacing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066A2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7D7DB0" w:rsidRPr="00F066A2" w:rsidRDefault="007D7DB0" w:rsidP="008A3381">
      <w:pPr>
        <w:spacing w:line="288" w:lineRule="auto"/>
        <w:rPr>
          <w:color w:val="000000" w:themeColor="text1"/>
          <w:sz w:val="28"/>
          <w:szCs w:val="28"/>
        </w:rPr>
      </w:pPr>
      <w:r w:rsidRPr="00F066A2">
        <w:rPr>
          <w:color w:val="000000" w:themeColor="text1"/>
          <w:sz w:val="28"/>
          <w:szCs w:val="28"/>
        </w:rPr>
        <w:t xml:space="preserve">     </w:t>
      </w:r>
    </w:p>
    <w:p w:rsidR="007D7DB0" w:rsidRPr="00F066A2" w:rsidRDefault="007D7DB0" w:rsidP="008A3381">
      <w:pPr>
        <w:spacing w:line="288" w:lineRule="auto"/>
        <w:rPr>
          <w:color w:val="000000" w:themeColor="text1"/>
          <w:sz w:val="28"/>
          <w:szCs w:val="28"/>
        </w:rPr>
      </w:pPr>
      <w:r w:rsidRPr="00F066A2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</w:p>
    <w:p w:rsidR="00C01E09" w:rsidRPr="00F066A2" w:rsidRDefault="00C01E09" w:rsidP="008A3381">
      <w:pPr>
        <w:spacing w:line="288" w:lineRule="auto"/>
        <w:rPr>
          <w:color w:val="000000" w:themeColor="text1"/>
          <w:sz w:val="28"/>
          <w:szCs w:val="28"/>
        </w:rPr>
      </w:pPr>
    </w:p>
    <w:sectPr w:rsidR="00C01E09" w:rsidRPr="00F066A2" w:rsidSect="00061634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05" w:rsidRDefault="00753F05">
      <w:r>
        <w:separator/>
      </w:r>
    </w:p>
  </w:endnote>
  <w:endnote w:type="continuationSeparator" w:id="0">
    <w:p w:rsidR="00753F05" w:rsidRDefault="0075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06" w:rsidRDefault="007D7DB0" w:rsidP="003A6B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C06" w:rsidRDefault="00753F05" w:rsidP="00B14C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06" w:rsidRDefault="00753F05" w:rsidP="00B14C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05" w:rsidRDefault="00753F05">
      <w:r>
        <w:separator/>
      </w:r>
    </w:p>
  </w:footnote>
  <w:footnote w:type="continuationSeparator" w:id="0">
    <w:p w:rsidR="00753F05" w:rsidRDefault="0075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34" w:rsidRDefault="00061634">
    <w:pPr>
      <w:pStyle w:val="Header"/>
      <w:jc w:val="center"/>
    </w:pPr>
  </w:p>
  <w:p w:rsidR="00061634" w:rsidRDefault="00061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B0"/>
    <w:rsid w:val="00030A6A"/>
    <w:rsid w:val="00061634"/>
    <w:rsid w:val="00063C29"/>
    <w:rsid w:val="00075E71"/>
    <w:rsid w:val="000D6247"/>
    <w:rsid w:val="00107ABB"/>
    <w:rsid w:val="00154B13"/>
    <w:rsid w:val="001A2088"/>
    <w:rsid w:val="001D17A3"/>
    <w:rsid w:val="002A7078"/>
    <w:rsid w:val="002C7E0D"/>
    <w:rsid w:val="002F7EF2"/>
    <w:rsid w:val="00301179"/>
    <w:rsid w:val="00301C69"/>
    <w:rsid w:val="00310B10"/>
    <w:rsid w:val="00320029"/>
    <w:rsid w:val="00355FC4"/>
    <w:rsid w:val="00360878"/>
    <w:rsid w:val="00365743"/>
    <w:rsid w:val="00370253"/>
    <w:rsid w:val="00384125"/>
    <w:rsid w:val="003878B3"/>
    <w:rsid w:val="003D7BB1"/>
    <w:rsid w:val="003F1094"/>
    <w:rsid w:val="0040510E"/>
    <w:rsid w:val="0042585C"/>
    <w:rsid w:val="004325E3"/>
    <w:rsid w:val="00474790"/>
    <w:rsid w:val="00476531"/>
    <w:rsid w:val="004850E7"/>
    <w:rsid w:val="00486688"/>
    <w:rsid w:val="004D4394"/>
    <w:rsid w:val="004D6859"/>
    <w:rsid w:val="004F051D"/>
    <w:rsid w:val="004F26B3"/>
    <w:rsid w:val="004F4BCF"/>
    <w:rsid w:val="00516EEF"/>
    <w:rsid w:val="00543E56"/>
    <w:rsid w:val="00561026"/>
    <w:rsid w:val="005A6B10"/>
    <w:rsid w:val="006533FB"/>
    <w:rsid w:val="00655003"/>
    <w:rsid w:val="006560A4"/>
    <w:rsid w:val="00656B45"/>
    <w:rsid w:val="006A5953"/>
    <w:rsid w:val="006C6208"/>
    <w:rsid w:val="006F3BB6"/>
    <w:rsid w:val="006F4750"/>
    <w:rsid w:val="00753F05"/>
    <w:rsid w:val="00757502"/>
    <w:rsid w:val="00763448"/>
    <w:rsid w:val="00776F05"/>
    <w:rsid w:val="00782B73"/>
    <w:rsid w:val="0078652F"/>
    <w:rsid w:val="007D7DB0"/>
    <w:rsid w:val="008060A7"/>
    <w:rsid w:val="008A3381"/>
    <w:rsid w:val="008C7A0F"/>
    <w:rsid w:val="008F0773"/>
    <w:rsid w:val="009516C6"/>
    <w:rsid w:val="00954EDE"/>
    <w:rsid w:val="0098065F"/>
    <w:rsid w:val="00980DBC"/>
    <w:rsid w:val="00986B45"/>
    <w:rsid w:val="00995C4A"/>
    <w:rsid w:val="009A6B83"/>
    <w:rsid w:val="009B0721"/>
    <w:rsid w:val="009C1BD9"/>
    <w:rsid w:val="00A25B52"/>
    <w:rsid w:val="00A26A80"/>
    <w:rsid w:val="00A712C4"/>
    <w:rsid w:val="00A75500"/>
    <w:rsid w:val="00A9394A"/>
    <w:rsid w:val="00A95ECC"/>
    <w:rsid w:val="00AB323B"/>
    <w:rsid w:val="00AB3AD0"/>
    <w:rsid w:val="00AD35B2"/>
    <w:rsid w:val="00B056E6"/>
    <w:rsid w:val="00B53239"/>
    <w:rsid w:val="00B65A61"/>
    <w:rsid w:val="00B73F86"/>
    <w:rsid w:val="00B8033C"/>
    <w:rsid w:val="00B82983"/>
    <w:rsid w:val="00BB6DAC"/>
    <w:rsid w:val="00C01E09"/>
    <w:rsid w:val="00C15356"/>
    <w:rsid w:val="00C67D8A"/>
    <w:rsid w:val="00C969EB"/>
    <w:rsid w:val="00CD199A"/>
    <w:rsid w:val="00CD316D"/>
    <w:rsid w:val="00CE4C46"/>
    <w:rsid w:val="00CF09C8"/>
    <w:rsid w:val="00D232A8"/>
    <w:rsid w:val="00D34091"/>
    <w:rsid w:val="00D53BC0"/>
    <w:rsid w:val="00D55062"/>
    <w:rsid w:val="00D7121C"/>
    <w:rsid w:val="00DA7F34"/>
    <w:rsid w:val="00E11916"/>
    <w:rsid w:val="00E26FB5"/>
    <w:rsid w:val="00E80F4D"/>
    <w:rsid w:val="00E83745"/>
    <w:rsid w:val="00E86742"/>
    <w:rsid w:val="00E94377"/>
    <w:rsid w:val="00E95AC6"/>
    <w:rsid w:val="00ED291B"/>
    <w:rsid w:val="00F066A2"/>
    <w:rsid w:val="00F70C0F"/>
    <w:rsid w:val="00F80539"/>
    <w:rsid w:val="00F86EF9"/>
    <w:rsid w:val="00FA7525"/>
    <w:rsid w:val="00F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B0"/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7D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7DB0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7D7DB0"/>
  </w:style>
  <w:style w:type="paragraph" w:styleId="BodyTextIndent">
    <w:name w:val="Body Text Indent"/>
    <w:basedOn w:val="Normal"/>
    <w:link w:val="BodyTextIndentChar"/>
    <w:rsid w:val="007D7DB0"/>
    <w:pPr>
      <w:spacing w:before="60" w:after="60"/>
      <w:ind w:firstLine="360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7DB0"/>
    <w:rPr>
      <w:rFonts w:ascii=".VnTime" w:eastAsia="Times New Roman" w:hAnsi=".VnTime" w:cs="Times New Roman"/>
      <w:szCs w:val="20"/>
    </w:rPr>
  </w:style>
  <w:style w:type="paragraph" w:customStyle="1" w:styleId="Char">
    <w:name w:val="Char"/>
    <w:basedOn w:val="Normal"/>
    <w:autoRedefine/>
    <w:rsid w:val="007D7DB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B52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B0"/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7D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7DB0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7D7DB0"/>
  </w:style>
  <w:style w:type="paragraph" w:styleId="BodyTextIndent">
    <w:name w:val="Body Text Indent"/>
    <w:basedOn w:val="Normal"/>
    <w:link w:val="BodyTextIndentChar"/>
    <w:rsid w:val="007D7DB0"/>
    <w:pPr>
      <w:spacing w:before="60" w:after="60"/>
      <w:ind w:firstLine="360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7DB0"/>
    <w:rPr>
      <w:rFonts w:ascii=".VnTime" w:eastAsia="Times New Roman" w:hAnsi=".VnTime" w:cs="Times New Roman"/>
      <w:szCs w:val="20"/>
    </w:rPr>
  </w:style>
  <w:style w:type="paragraph" w:customStyle="1" w:styleId="Char">
    <w:name w:val="Char"/>
    <w:basedOn w:val="Normal"/>
    <w:autoRedefine/>
    <w:rsid w:val="007D7DB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B52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BEA5-8A90-452F-92CC-5BDDDAB2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Phuong</cp:lastModifiedBy>
  <cp:revision>8</cp:revision>
  <cp:lastPrinted>2025-04-10T08:42:00Z</cp:lastPrinted>
  <dcterms:created xsi:type="dcterms:W3CDTF">2025-04-01T08:57:00Z</dcterms:created>
  <dcterms:modified xsi:type="dcterms:W3CDTF">2025-04-21T03:12:00Z</dcterms:modified>
</cp:coreProperties>
</file>