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7/2024 (TỪ NGÀY 15/7/2024 ĐẾN NGÀY 20/7/2024)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80"/>
        <w:gridCol w:w="2280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80"/>
            <w:gridCol w:w="2280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(15/7 )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(18/7)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(19/76)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(20/7)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bếp ăn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ngủ lớp D3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đón trẻ lớp B1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Làm việc tại văn phòng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5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sổ nuôi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sổ nuôi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vệ sinh toàn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thiện ảnh treo cầu thang số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-Chuẩn bị hoạt động bể vầy nước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Tập huấn chuyên đề Cải tiến hình thức tổ chức hoạt động học theo quan điểm Học bằng chơi, chơi mà học độ tuổi mẫu giáo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Tập huấn phương pháp giảng dạy tiên tiến “Khơi nguồn sáng tạo trong không gian kịch nghệ”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-Nghỉ theo kế hoạch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kế hoạch</w:t>
            </w:r>
          </w:p>
        </w:tc>
      </w:tr>
      <w:tr>
        <w:trPr>
          <w:cantSplit w:val="0"/>
          <w:trHeight w:val="207.94921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4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5">
      <w:pPr>
        <w:spacing w:after="0" w:lineRule="auto"/>
        <w:ind w:left="1134" w:right="935"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E6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TJJ76o7OXfpc4iiWPes869380Q==">CgMxLjA4AHIhMS1PamtFcVZMSjBtbTROczlJSnFBVVJkWHpBTDBlVWEz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