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3/2024 (TỪ NGÀY 04/03/2024 ĐẾN NGÀY 09/03/2024)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(04/03 )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(09/03)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- 9h00: Sinh hoạt chi bộ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ăn lớp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A1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thi công cửa kính tầng 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thi công cửa kính tầng 2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các điều kiện sân khấu, tiệc, tiến độ chuẩn bị sự kiện 8/3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17h00: Tổ chức kỷ niệm 8/3 - ngày quốc tế PN cho PH, HS, CBGVNV toàn trường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9h00: Sinh hoạt chi bộ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MGN B1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chia ăn chính bếp.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MGL A1,2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Thống nhất đặt tiệc tổ chức sự kiện cùng BPH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tiết học lớp MGB C1 cùng ban giám khảo chấm GV giỏi cấp Quận.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hồ sơ sổ sách nuôi.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chiều lớp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17h00: Tổ chức kỷ niệm 8/3 - ngày quốc tế PN cho PH, HS, CBGVNV toàn trường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9h00: Sinh hoạt chi bộ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lớp MGB C2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thi GVG cấp Quận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Phân công Gv chuẩn bị cho nội dung thi Gv dạy giỏi cấp Quận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Đoàn nhà trường tổ chức tặng quà CBGV NV 8/3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Chấm thi GV giỏi cấp Quận tại MN Hoa Anh Đào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Duyệt hồ sơ sổ sách 2 cô thi gv giỏi cấp Quận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HĐ trả trẻ lớp C1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17h00: Tổ chức kỷ niệm 8/3 - ngày quốc tế PN cho PH, HS, CBGVNV toàn trường 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 cô giáo tham gia hội thi GV dạy giỏi cấp Quận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hoạt động liên kết NTST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EE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0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1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FbKvCasN37D+x7LJ8fT1gHIxCg==">CgMxLjA4AHIhMXNMeURRUktZLUVhQnFrd1hTdEp0ek9MVHljRkxkaV82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