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60974">
      <w:pPr>
        <w:pStyle w:val="NormalWeb"/>
        <w:spacing w:line="288" w:lineRule="auto"/>
        <w:ind w:firstLine="720"/>
        <w:jc w:val="center"/>
        <w:outlineLvl w:val="2"/>
        <w:divId w:val="1167868864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9 - LỨA TUỔI MẪU GIÁO LỚN 5-6 TUỔI - LỚP Mẫu giáo Lớn A2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Hồng Nhung- Thuý An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000000">
        <w:trPr>
          <w:divId w:val="1167868864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0974">
            <w:pPr>
              <w:jc w:val="center"/>
              <w:divId w:val="198419480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60974">
            <w:pPr>
              <w:jc w:val="center"/>
              <w:divId w:val="78998222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02/09 đến 06/09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60974">
            <w:pPr>
              <w:jc w:val="center"/>
              <w:divId w:val="125130581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09/09 đến 13/09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60974">
            <w:pPr>
              <w:jc w:val="center"/>
              <w:divId w:val="23863307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16/09 đến 20/09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60974">
            <w:pPr>
              <w:jc w:val="center"/>
              <w:divId w:val="60380327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23/09 đến 27/09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0974">
            <w:pPr>
              <w:jc w:val="center"/>
              <w:divId w:val="206780140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1678688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097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0974">
            <w:r>
              <w:rPr>
                <w:rStyle w:val="plan-content-pre1"/>
              </w:rPr>
              <w:t>-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soát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Đi,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thay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theo đúng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(MT3)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60974">
            <w:pPr>
              <w:rPr>
                <w:rFonts w:eastAsia="Times New Roman"/>
              </w:rPr>
            </w:pPr>
          </w:p>
          <w:p w:rsidR="00000000" w:rsidRDefault="00B60974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đúng, thu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60974">
            <w:pPr>
              <w:rPr>
                <w:rFonts w:eastAsia="Times New Roman"/>
              </w:rPr>
            </w:pPr>
          </w:p>
          <w:p w:rsidR="00000000" w:rsidRDefault="00B60974">
            <w:r>
              <w:rPr>
                <w:rStyle w:val="plan-content-pre1"/>
              </w:rPr>
              <w:t xml:space="preserve">- Đưa 2 </w:t>
            </w:r>
            <w:r>
              <w:rPr>
                <w:rStyle w:val="plan-content-pre1"/>
              </w:rPr>
              <w:t>tay lên cao, ra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sang 2 bên (k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y bàn tay, quay 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tay, ki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ng chân)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60974">
            <w:pPr>
              <w:rPr>
                <w:rFonts w:eastAsia="Times New Roman"/>
              </w:rPr>
            </w:pPr>
          </w:p>
          <w:p w:rsidR="00000000" w:rsidRDefault="00B60974"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cúi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tay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ngón chân.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60974">
            <w:pPr>
              <w:rPr>
                <w:rFonts w:eastAsia="Times New Roman"/>
              </w:rPr>
            </w:pPr>
          </w:p>
          <w:p w:rsidR="00000000" w:rsidRDefault="00B60974"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lên, đưa 2 chân sang ngang;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lên đưa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chân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chân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sau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60974">
            <w:pPr>
              <w:rPr>
                <w:rFonts w:eastAsia="Times New Roman"/>
              </w:rPr>
            </w:pPr>
          </w:p>
          <w:p w:rsidR="00000000" w:rsidRDefault="00B60974"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chân (đi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đi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mũi chân, đi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gót chân, đi mép chân,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nhanh,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ch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m...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60974">
            <w:pPr>
              <w:rPr>
                <w:rFonts w:eastAsia="Times New Roman"/>
              </w:rPr>
            </w:pPr>
          </w:p>
          <w:p w:rsidR="00000000" w:rsidRDefault="00B60974">
            <w:r>
              <w:rPr>
                <w:rStyle w:val="plan-content-pre1"/>
              </w:rPr>
              <w:t>Quay sang trái, sang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tay ch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hông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hai tay dang ngang, chân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sang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i, sang trái.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6097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0974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MT3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MT1</w:t>
            </w:r>
          </w:p>
        </w:tc>
      </w:tr>
      <w:tr w:rsidR="00000000">
        <w:trPr>
          <w:divId w:val="11678688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097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0974">
            <w:r>
              <w:rPr>
                <w:rStyle w:val="plan-content-pre1"/>
              </w:rPr>
              <w:t>- Nói tên,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và mô t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60974">
            <w:pPr>
              <w:rPr>
                <w:rFonts w:eastAsia="Times New Roman"/>
              </w:rPr>
            </w:pPr>
          </w:p>
          <w:p w:rsidR="00000000" w:rsidRDefault="00B60974">
            <w:r>
              <w:rPr>
                <w:rStyle w:val="plan-content-pre1"/>
              </w:rPr>
              <w:t>Cô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các thói quen,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non, xem video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non, 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</w:t>
            </w:r>
            <w:r>
              <w:rPr>
                <w:rStyle w:val="plan-content-pre1"/>
              </w:rPr>
              <w:t>eo ý thích.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video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khai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ng 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khai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ng năm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i, không khí ngày khai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ng có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, có bóng bay…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thích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trong ngày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bé,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 Gia Qu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thân yêu.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Trung thu: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đi đâu, chơi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gì,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trung thu có gì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r>
              <w:rPr>
                <w:rStyle w:val="plan-content-pre1"/>
              </w:rPr>
              <w:t>Cô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bé,v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6097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0974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MT46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MT48</w:t>
            </w:r>
          </w:p>
        </w:tc>
      </w:tr>
      <w:tr w:rsidR="00000000">
        <w:trPr>
          <w:divId w:val="116786886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097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097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60974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B6097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lễ 2/9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6097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60974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B6097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kỹ năng bê- cất bàn ghế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6097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60974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B6097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Chữ o-ô-ơ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6097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60974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B6097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hát: Lớp chúng ta đoàn kết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Nghe hát: Em yêu trường em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TCAN: Đoán tên bạn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60974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0974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MT29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MT96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MT36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MT47</w:t>
            </w:r>
          </w:p>
        </w:tc>
      </w:tr>
      <w:tr w:rsidR="00000000">
        <w:trPr>
          <w:divId w:val="116786886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097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097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60974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B6097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bù lễ 2/9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6097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60974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B6097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kỹ năng lấy cất học liệu đúng nơi quy định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6097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60974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B6097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các chữ số từ 1 đến 5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6097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60974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B6097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Ghép thành cặp những đối tượng có mối liên quan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6097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0974">
            <w:pPr>
              <w:rPr>
                <w:rFonts w:eastAsia="Times New Roman"/>
              </w:rPr>
            </w:pPr>
          </w:p>
        </w:tc>
      </w:tr>
      <w:tr w:rsidR="00000000">
        <w:trPr>
          <w:divId w:val="116786886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097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097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60974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B6097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Chuẩn bị khai giảng năm học mới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6097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60974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B6097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nội quy các góc chơi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6097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60974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B6097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Tết Trung Thu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6097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60974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B6097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Trường MN Gia Quất thân yêu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6097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0974">
            <w:pPr>
              <w:rPr>
                <w:rFonts w:eastAsia="Times New Roman"/>
              </w:rPr>
            </w:pPr>
          </w:p>
        </w:tc>
      </w:tr>
      <w:tr w:rsidR="00000000">
        <w:trPr>
          <w:divId w:val="116786886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097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097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6097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B6097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Khai Giảng năm học mới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6097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6097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B6097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nề nếp ngồi học đúng tư thế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6097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6097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B6097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Thiết kế đèn lồng (STEAM)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6097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6097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B6097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cắt dán đồ dùng đồ chơi bé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6097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0974">
            <w:pPr>
              <w:rPr>
                <w:rFonts w:eastAsia="Times New Roman"/>
              </w:rPr>
            </w:pPr>
          </w:p>
        </w:tc>
      </w:tr>
      <w:tr w:rsidR="00000000">
        <w:trPr>
          <w:divId w:val="116786886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097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097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60974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B6097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kỹ năng rửa tay bằng xà phòng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TLNSVMTL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Bài 1: Rửa tay sạch sẽ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6097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60974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B6097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kĩ năng cầm bút đúng cách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6097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60974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B6097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 " chú Cuội cung trăng"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6097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60974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B6097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Tung bóng lên cao và bắt </w:t>
            </w:r>
            <w:r>
              <w:rPr>
                <w:rStyle w:val="plan-content-pre1"/>
                <w:rFonts w:eastAsia="Times New Roman"/>
              </w:rPr>
              <w:t>bóng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6097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0974">
            <w:pPr>
              <w:rPr>
                <w:rFonts w:eastAsia="Times New Roman"/>
              </w:rPr>
            </w:pPr>
          </w:p>
        </w:tc>
      </w:tr>
      <w:tr w:rsidR="00000000">
        <w:trPr>
          <w:divId w:val="11678688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097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0974">
            <w:r>
              <w:rPr>
                <w:rStyle w:val="plan-content-pre1"/>
              </w:rPr>
              <w:t>1,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1,2: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*Quan sát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góc chơi trong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các TCVĐ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MGL A1, TCDG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trong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c, Ai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chơi các trò chơi dân gian (C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t. Ai nhanh hơn,chơi “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”,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tin,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 hát…)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2.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*Quan sát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</w:t>
            </w:r>
            <w:r>
              <w:rPr>
                <w:rStyle w:val="plan-content-pre1"/>
              </w:rPr>
              <w:t>i trung thu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có trong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trung thu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Liên hoan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giao lưu múa sư t</w:t>
            </w:r>
            <w:r>
              <w:rPr>
                <w:rStyle w:val="plan-content-pre1"/>
              </w:rPr>
              <w:t>ử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trung thu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gia đình.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Ai nhanh hơn,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, Chơi cát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chơi các trò chơi dân gian (Kéo co,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đánh 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vào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ra…)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theo ý thích, chơi cát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3.Tu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*Quan sát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quan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khung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ơi,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các TCVĐ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MGL A1, TCDG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bác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Thăm phòng y t</w:t>
            </w:r>
            <w:r>
              <w:rPr>
                <w:rStyle w:val="plan-content-pre1"/>
              </w:rPr>
              <w:t>ế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Bánh xe quay,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bóng, Thi đi nhanh , chơi các trò chơi dân gian (R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mây,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đánh 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Kéo co…)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*Ch</w:t>
            </w:r>
            <w:r>
              <w:rPr>
                <w:rStyle w:val="plan-content-pre1"/>
              </w:rPr>
              <w:t>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chơi theo ý thích,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lá cây,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6097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0974">
            <w:pPr>
              <w:rPr>
                <w:rFonts w:eastAsia="Times New Roman"/>
              </w:rPr>
            </w:pPr>
          </w:p>
        </w:tc>
      </w:tr>
      <w:tr w:rsidR="00000000">
        <w:trPr>
          <w:divId w:val="11678688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097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0974">
            <w:r>
              <w:rPr>
                <w:rStyle w:val="plan-content-pre1"/>
              </w:rPr>
              <w:t>* Rèn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ng.(T1, T2)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-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Trang trí đèn l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(T3)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 Gia Qu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 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phân vai: - Gia đình,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mua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cho con đi khai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ng và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vào năm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Bán hàng: Bán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đi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</w:t>
            </w:r>
            <w:r>
              <w:rPr>
                <w:rStyle w:val="plan-content-pre1"/>
              </w:rPr>
              <w:t>c thiên nhiên: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cây, chăm sóc cây…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khám phá: Th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chìm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tan và không tan,….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p: - Xem tranh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có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dung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m </w:t>
            </w:r>
            <w:r>
              <w:rPr>
                <w:rStyle w:val="plan-content-pre1"/>
              </w:rPr>
              <w:lastRenderedPageBreak/>
              <w:t>non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toán thêm trong góc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Đômino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</w:t>
            </w:r>
            <w:r>
              <w:rPr>
                <w:rStyle w:val="plan-content-pre1"/>
              </w:rPr>
              <w:t xml:space="preserve"> 1,2,3,4,5.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nhóm có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5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theo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n,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 hình cơ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: hình tròn, vuông, tam giác,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tranh: Ai quan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chơi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p, sao chép, trang trí, ghép các nét cơ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ghép hình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cách khác nhau: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hình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hút, căng dây chun,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que kem .....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tô màu tranh có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dung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và VĐ các bài hát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cô giáo,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đ</w:t>
            </w:r>
            <w:r>
              <w:rPr>
                <w:rStyle w:val="plan-content-pre1"/>
              </w:rPr>
              <w:t>èn ông sao, làm đèn l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ng( STEAM)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bé thích, không thích,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bé làm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và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gì bé không làm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60974">
            <w:pPr>
              <w:rPr>
                <w:rFonts w:eastAsia="Times New Roman"/>
              </w:rPr>
            </w:pPr>
          </w:p>
          <w:p w:rsidR="00000000" w:rsidRDefault="00B60974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gia đình và nơi công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(MT83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6097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0974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MT71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MT83</w:t>
            </w:r>
          </w:p>
        </w:tc>
      </w:tr>
      <w:tr w:rsidR="00000000">
        <w:trPr>
          <w:divId w:val="11678688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097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0974">
            <w:r>
              <w:rPr>
                <w:rStyle w:val="plan-content-pre1"/>
              </w:rPr>
              <w:t>-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cách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thói quen văn minh trong khi ăn: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cô,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trong khi ăn, ăn 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su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không đùa ngh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ch, không làm vãi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ăn, súc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sau khi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tên món ăn hàng ngày.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nguy cơ không an toàn khi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6097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0974">
            <w:pPr>
              <w:rPr>
                <w:rFonts w:eastAsia="Times New Roman"/>
              </w:rPr>
            </w:pPr>
          </w:p>
        </w:tc>
      </w:tr>
      <w:tr w:rsidR="00000000">
        <w:trPr>
          <w:divId w:val="11678688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097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0974">
            <w:r>
              <w:rPr>
                <w:rStyle w:val="plan-content-pre1"/>
              </w:rPr>
              <w:t>1,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1,2: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thói quen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khi g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p khó khăn và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tránh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không an toàn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quy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cách 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các góc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theo nhóm.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LĐ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, BDVN, nêu gương bé ngoan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2,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chú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cung trăng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Xem clip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trong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trung thu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múa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trung </w:t>
            </w:r>
            <w:r>
              <w:rPr>
                <w:rStyle w:val="plan-content-pre1"/>
              </w:rPr>
              <w:t>thu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LĐTT, BDVN, nêu gương bé ngoan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3,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xem băng hình, quan sát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trong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đánh giá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có thói quen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xưng hô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(MT84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60974">
            <w:pPr>
              <w:rPr>
                <w:rFonts w:eastAsia="Times New Roman"/>
              </w:rPr>
            </w:pPr>
          </w:p>
          <w:p w:rsidR="00000000" w:rsidRDefault="00B60974"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Ai quan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chân dung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theo nhóm và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các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ơn, xin l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i, xin phép,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 thưa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60974">
            <w:pPr>
              <w:rPr>
                <w:rFonts w:eastAsia="Times New Roman"/>
              </w:rPr>
            </w:pPr>
          </w:p>
          <w:p w:rsidR="00000000" w:rsidRDefault="00B60974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LĐTT, BDVN,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6097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0974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MT84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MT62</w:t>
            </w:r>
          </w:p>
        </w:tc>
      </w:tr>
      <w:tr w:rsidR="00000000">
        <w:trPr>
          <w:divId w:val="11678688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097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09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Khai giảng- Rèn nề nếp VS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09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Rèn nề nếp học tập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097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Tết Trung Thu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09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Trường mầm non Gia Quất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0974">
            <w:pPr>
              <w:rPr>
                <w:rFonts w:eastAsia="Times New Roman"/>
              </w:rPr>
            </w:pPr>
          </w:p>
        </w:tc>
      </w:tr>
      <w:tr w:rsidR="00000000">
        <w:trPr>
          <w:divId w:val="11678688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6097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B60974">
            <w:pPr>
              <w:pStyle w:val="text-center-report"/>
              <w:spacing w:before="0" w:beforeAutospacing="0" w:after="0" w:afterAutospacing="0"/>
              <w:divId w:val="695741729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B60974">
            <w:pPr>
              <w:rPr>
                <w:rFonts w:eastAsia="Times New Roman"/>
              </w:rPr>
            </w:pPr>
          </w:p>
          <w:p w:rsidR="00000000" w:rsidRDefault="00B609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B60974">
            <w:pPr>
              <w:pStyle w:val="text-center-report"/>
              <w:spacing w:before="0" w:beforeAutospacing="0" w:after="0" w:afterAutospacing="0"/>
              <w:divId w:val="1627545714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B60974">
            <w:pPr>
              <w:rPr>
                <w:rFonts w:eastAsia="Times New Roman"/>
              </w:rPr>
            </w:pPr>
          </w:p>
        </w:tc>
      </w:tr>
    </w:tbl>
    <w:p w:rsidR="00000000" w:rsidRDefault="00B60974">
      <w:pPr>
        <w:pStyle w:val="Heading2"/>
        <w:spacing w:before="0" w:beforeAutospacing="0" w:after="0" w:afterAutospacing="0" w:line="288" w:lineRule="auto"/>
        <w:ind w:firstLine="720"/>
        <w:jc w:val="both"/>
        <w:divId w:val="1167868864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4419"/>
        <w:gridCol w:w="4435"/>
      </w:tblGrid>
      <w:tr w:rsidR="00000000">
        <w:trPr>
          <w:divId w:val="1167868864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B6097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Ban giám hiệu</w:t>
            </w:r>
          </w:p>
        </w:tc>
        <w:tc>
          <w:tcPr>
            <w:tcW w:w="0" w:type="auto"/>
            <w:vAlign w:val="center"/>
            <w:hideMark/>
          </w:tcPr>
          <w:p w:rsidR="00000000" w:rsidRDefault="00B6097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:rsidR="00000000" w:rsidRDefault="00B6097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>
        <w:trPr>
          <w:divId w:val="1167868864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000000" w:rsidRDefault="00B60974">
            <w:pPr>
              <w:jc w:val="center"/>
              <w:divId w:val="1652294001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5175"/>
                  <wp:effectExtent l="0" t="0" r="0" b="0"/>
                  <wp:docPr id="8" name="principal_sign" descr="D:\Desktop\A2(24-25)\KHGD THÁNG\T9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 descr="D:\Desktop\A2(24-25)\KHGD THÁNG\T9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B60974">
            <w:pPr>
              <w:divId w:val="1652294001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13/09/202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B60974">
            <w:pPr>
              <w:jc w:val="center"/>
              <w:divId w:val="1155686727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5175"/>
                  <wp:effectExtent l="0" t="0" r="0" b="0"/>
                  <wp:docPr id="9" name="leader_sign" descr="D:\Desktop\A2(24-25)\KHGD THÁNG\T9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 descr="D:\Desktop\A2(24-25)\KHGD THÁNG\T9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B60974">
            <w:pPr>
              <w:divId w:val="1155686727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13/09/202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B60974">
            <w:pPr>
              <w:jc w:val="center"/>
              <w:divId w:val="913662578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5175"/>
                  <wp:effectExtent l="0" t="0" r="0" b="0"/>
                  <wp:docPr id="10" name="teacher_sign" descr="D:\Desktop\A2(24-25)\KHGD THÁNG\T9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_sign" descr="D:\Desktop\A2(24-25)\KHGD THÁNG\T9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5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B60974">
            <w:pPr>
              <w:divId w:val="913662578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13/09/202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</w:tr>
    </w:tbl>
    <w:p w:rsidR="00000000" w:rsidRDefault="00B60974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60974"/>
    <w:rsid w:val="00B6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DA15224-ACA9-4AF8-9CFF-0A0AC9EC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09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9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8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3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0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0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4172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457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9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8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0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D:\Desktop\A2(24-25)\KHGD%20TH&#193;NG\T9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1571</Words>
  <Characters>5618</Characters>
  <Application>Microsoft Office Word</Application>
  <DocSecurity>0</DocSecurity>
  <Lines>46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Administrator</cp:lastModifiedBy>
  <cp:revision>2</cp:revision>
  <dcterms:created xsi:type="dcterms:W3CDTF">2024-09-13T07:10:00Z</dcterms:created>
  <dcterms:modified xsi:type="dcterms:W3CDTF">2024-09-13T07:10:00Z</dcterms:modified>
</cp:coreProperties>
</file>