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E0" w:rsidRDefault="000439E0" w:rsidP="000439E0">
      <w:pPr>
        <w:shd w:val="clear" w:color="auto" w:fill="FFFFFF"/>
        <w:jc w:val="center"/>
        <w:rPr>
          <w:rFonts w:ascii="Times New Roman" w:hAnsi="Times New Roman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  <w:t>Thủ tục 2: Chuyển trường và rút hồ sơ học sinh đi nơi khác</w:t>
      </w:r>
    </w:p>
    <w:p w:rsidR="000439E0" w:rsidRDefault="000439E0" w:rsidP="000439E0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i w:val="0"/>
          <w:color w:val="000000"/>
          <w:spacing w:val="0"/>
          <w:sz w:val="28"/>
          <w:szCs w:val="28"/>
        </w:rPr>
      </w:pPr>
    </w:p>
    <w:tbl>
      <w:tblPr>
        <w:tblW w:w="10020" w:type="dxa"/>
        <w:tblInd w:w="-372" w:type="dxa"/>
        <w:tblLayout w:type="fixed"/>
        <w:tblLook w:val="04A0" w:firstRow="1" w:lastRow="0" w:firstColumn="1" w:lastColumn="0" w:noHBand="0" w:noVBand="1"/>
      </w:tblPr>
      <w:tblGrid>
        <w:gridCol w:w="2400"/>
        <w:gridCol w:w="7620"/>
      </w:tblGrid>
      <w:tr w:rsidR="000439E0" w:rsidTr="000439E0">
        <w:trPr>
          <w:trHeight w:val="162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1. Trình tự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1. Đối với Phụ huynh học sinh hoặc người giám hộ: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Bước 1: 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Viêt Đơn xin chuyển trường đi nơi khác có xác nhận đồng ý của GVCN và Ban Giám hiệu và Đơn xin nhập học có xác nhận đồng ý của Hiệu trưởng trường muốn chuyển đi.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Bước 2: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 Làm thủ tục rút hồ sơ tại bộ phận Văn thư nhà trường.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2. Đối với cán bộ thụ lý hồ sơ: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u w:val="single"/>
              </w:rPr>
              <w:t>Bước 1: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 Tiếp nhận Đơn xin chuyển trường đi nơi khác có xác nhận đồng ý của GVCN và Ban Giám hiệu và ghi phiếu hẹn trả hồ sơ.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u w:val="single"/>
              </w:rPr>
              <w:t>Bước 2:</w:t>
            </w: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 xml:space="preserve"> Chuẩn bị hồ sơ :</w:t>
            </w:r>
          </w:p>
          <w:p w:rsidR="000439E0" w:rsidRDefault="000439E0">
            <w:pPr>
              <w:spacing w:line="288" w:lineRule="auto"/>
              <w:ind w:hanging="1200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-        K  Kiểm tra thông tin, đối chiếu hồ sơ gốc </w:t>
            </w:r>
          </w:p>
          <w:p w:rsidR="000439E0" w:rsidRDefault="000439E0">
            <w:pPr>
              <w:spacing w:line="288" w:lineRule="auto"/>
              <w:ind w:hanging="312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-        - Cấp Phiếu điểm đối với trường hợp học sinh học hết học kỳ I của năm học </w:t>
            </w:r>
          </w:p>
          <w:p w:rsidR="000439E0" w:rsidRDefault="000439E0">
            <w:pPr>
              <w:spacing w:line="288" w:lineRule="auto"/>
              <w:ind w:hanging="1200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                   - Cấp Giấy giới thiệu chuyển trường </w:t>
            </w:r>
          </w:p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u w:val="single"/>
              </w:rPr>
              <w:t>Bước 3: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 Bàn giao hồ sơ cho PHHS hoặc người giám hộ (PHHS ký nhận vào sổ chuyển đi - chuyển đến)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2. Cách thức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 xml:space="preserve">Nộp và nhận kết quả trực tiếp tại bộ phận Văn phòng trường THCS Đô Thị Việt Hưng. 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3. Thành phần, số lượng hồ sơ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Đơn xin chuyển trường đi nơi khác có xác nhận đồng ý của GVCN và Ban Giám hiệu;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Đơn xin nhập học có xác nhận đồng ý của Hiệu trưởng trường muốn chuyển đi.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8"/>
                <w:szCs w:val="28"/>
              </w:rPr>
              <w:t>(Các bản sao đều có công chứng)</w:t>
            </w:r>
          </w:p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 Số lượng Hồ sơ: </w:t>
            </w: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01 bộ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4. Thời hạn giải quyết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02 ngày nếu đủ hồ sơ hợp lệ.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5. Đối tượng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Phụ huynh học sinh hoặc người giám hộ</w:t>
            </w:r>
          </w:p>
        </w:tc>
      </w:tr>
      <w:tr w:rsidR="000439E0" w:rsidTr="000439E0">
        <w:trPr>
          <w:trHeight w:val="106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6. Cơ quan thực hiện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000000"/>
                <w:spacing w:val="0"/>
                <w:sz w:val="28"/>
                <w:szCs w:val="28"/>
              </w:rPr>
            </w:pPr>
          </w:p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Trường THCS Đô Thị Việt Hưng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 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lastRenderedPageBreak/>
              <w:t>7. Kết quả thực hiện thủ tục hành chính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Hồ sơ của học sinh: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 Ðơn xin chuyển trường do cha hoặc mẹ hoặc người giám hộ ký,có xác nhận tiếp nhận của Hiệu trưởng trường THCS nơi chuyển  đến (Bản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Học bạ (Bản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Giấy khai sinh. (Bản sao)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Giấy giới thiệu chuyển trường (Bản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Phiếu điểm đối với trường hợp học sinh học hết học kỳ I của năm học</w:t>
            </w:r>
            <w:r>
              <w:rPr>
                <w:rFonts w:ascii="Times New Roman" w:hAnsi="Times New Roman"/>
                <w:b w:val="0"/>
                <w:bCs/>
                <w:i w:val="0"/>
                <w:color w:val="000000"/>
                <w:spacing w:val="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Bản chính)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Hộ khẩu hoặc giấy chứng nhận tạm trú (Bản sao)</w:t>
            </w:r>
          </w:p>
          <w:p w:rsidR="000439E0" w:rsidRDefault="000439E0">
            <w:pPr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 Các giấy tờ khác liên quan (Nếu có)</w:t>
            </w:r>
          </w:p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- Số lượng Hồ sơ: 01 bộ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8. Lệ phí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9. Tên mẫu đơn, mẫu tờ khai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10. Yêu cầu, điều kiện thực hiện 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11. C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 sở pháp lý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</w:rPr>
              <w:t>Quyết định số 51/2002/QĐ-BGDĐT ngày 25 tháng 12 năm 2002 của Bộ Trưởng Bộ Giáo dục &amp; Đào tạo về việc ban hành “Quy định chuyển trường và tiếp nhận học sinh tại các trường trung học cơ sở và trung học phổ thông”.</w:t>
            </w:r>
          </w:p>
        </w:tc>
      </w:tr>
      <w:tr w:rsidR="000439E0" w:rsidTr="000439E0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 xml:space="preserve">12. Tài liệu 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Cs/>
                <w:i w:val="0"/>
                <w:color w:val="000000"/>
                <w:spacing w:val="0"/>
                <w:sz w:val="28"/>
                <w:szCs w:val="28"/>
                <w:lang w:val="nl-NL"/>
              </w:rPr>
              <w:t>ính kèm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9E0" w:rsidRDefault="000439E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8"/>
                <w:szCs w:val="28"/>
                <w:lang w:val="nl-NL"/>
              </w:rPr>
              <w:t>Không</w:t>
            </w:r>
          </w:p>
        </w:tc>
      </w:tr>
    </w:tbl>
    <w:p w:rsidR="000439E0" w:rsidRDefault="000439E0" w:rsidP="000439E0">
      <w:pPr>
        <w:autoSpaceDE w:val="0"/>
        <w:autoSpaceDN w:val="0"/>
        <w:adjustRightInd w:val="0"/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0439E0" w:rsidRDefault="000439E0" w:rsidP="000439E0">
      <w:pPr>
        <w:shd w:val="clear" w:color="auto" w:fill="FFFFFF"/>
        <w:spacing w:after="240"/>
        <w:jc w:val="center"/>
        <w:rPr>
          <w:rFonts w:ascii="Times New Roman" w:hAnsi="Times New Roman"/>
          <w:bCs/>
          <w:i w:val="0"/>
          <w:color w:val="000000"/>
          <w:spacing w:val="0"/>
          <w:sz w:val="28"/>
          <w:szCs w:val="28"/>
          <w:u w:val="single"/>
        </w:rPr>
      </w:pPr>
    </w:p>
    <w:p w:rsidR="00AE3117" w:rsidRDefault="00AE3117">
      <w:bookmarkStart w:id="0" w:name="_GoBack"/>
      <w:bookmarkEnd w:id="0"/>
    </w:p>
    <w:sectPr w:rsidR="00AE3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Brush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6D"/>
    <w:rsid w:val="000439E0"/>
    <w:rsid w:val="00A0076D"/>
    <w:rsid w:val="00A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E0"/>
    <w:pPr>
      <w:spacing w:after="0" w:line="240" w:lineRule="auto"/>
    </w:pPr>
    <w:rPr>
      <w:rFonts w:ascii="VNI-Brush" w:eastAsia="Times New Roman" w:hAnsi="VNI-Brush" w:cs="Times New Roman"/>
      <w:b/>
      <w:i/>
      <w:spacing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E0"/>
    <w:pPr>
      <w:spacing w:after="0" w:line="240" w:lineRule="auto"/>
    </w:pPr>
    <w:rPr>
      <w:rFonts w:ascii="VNI-Brush" w:eastAsia="Times New Roman" w:hAnsi="VNI-Brush" w:cs="Times New Roman"/>
      <w:b/>
      <w:i/>
      <w:spacing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LongBienDistrict</dc:creator>
  <cp:keywords/>
  <dc:description/>
  <cp:lastModifiedBy>LongBienDistrict</cp:lastModifiedBy>
  <cp:revision>3</cp:revision>
  <dcterms:created xsi:type="dcterms:W3CDTF">2016-01-26T16:42:00Z</dcterms:created>
  <dcterms:modified xsi:type="dcterms:W3CDTF">2016-01-26T16:42:00Z</dcterms:modified>
</cp:coreProperties>
</file>