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/>
      </w:pP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2 THÁNG 01/2019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07/01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12/01/2019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280"/>
        <w:gridCol w:w="2235"/>
        <w:gridCol w:w="2355"/>
        <w:gridCol w:w="2235"/>
        <w:gridCol w:w="2235"/>
        <w:gridCol w:w="2205"/>
        <w:tblGridChange w:id="0">
          <w:tblGrid>
            <w:gridCol w:w="510"/>
            <w:gridCol w:w="1065"/>
            <w:gridCol w:w="840"/>
            <w:gridCol w:w="2280"/>
            <w:gridCol w:w="2235"/>
            <w:gridCol w:w="2355"/>
            <w:gridCol w:w="223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(08/01/2019)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(12/01)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8h30: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8h15: Họp trực tuyến sơ kết học kỳ I tại tầng 3 - Khu liên cơ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HĐH và QCCS lớp C1.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các hoạt động qua thiết bị giám sát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sư phạm cô Nguyễn Thị Hồng. - Kiểm tra toàn diện lớp B4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Tiếng Anh E3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Tiếng Anh E3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Tiếng Anh E3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việc thực hiện các cuộc vận động và các phong trào của ngành tại nhà trường.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8h30: Họp BGH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72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thực hiện quy trình sơ chế và chế biến TP của tổ bếp.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giao nhận sữa học đường của các lớp.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-Dự HĐH và QCCS lớp D2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sư phạm cô Nguyễn Thị Hồng. - Kiểm tra toàn diện lớp B4.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-Đi làm theo sự phân công của HT.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Tiếng Anh E3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NK võ.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công tác PCCC của nhà trường.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kho TP của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 của HT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 đón trẻ đầu tuần.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giao ban công tác tuần BGH.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thành kế hoạch tổ chức hội thi “Bé với TC vận động” và Triển lãm ĐDĐC tự tạo”.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-Dự HĐH và QCCS lớp B3.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HĐH và QCCS lớp A2.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sư phạm cô Nguyễn Thị Hồng. - Kiểm tra toàn diện lớp B4.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lớp Tiếng Anh E3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tổ chuyên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môn triển khai kế hoạch tổ chức hội thi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“Bé với TC vận động” và Triển lãm ĐDĐC tự tạo”.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hành lang (vận động) của các lớp.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lớp NK múa.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VP.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after="0" w:lineRule="auto"/>
        <w:ind w:left="1134" w:right="935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