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A0" w:rsidRPr="00F64EA0" w:rsidRDefault="00F64EA0" w:rsidP="00F64EA0">
      <w:pPr>
        <w:spacing w:after="15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 w:val="33"/>
          <w:szCs w:val="33"/>
        </w:rPr>
      </w:pPr>
      <w:r w:rsidRPr="00F64EA0">
        <w:rPr>
          <w:rFonts w:eastAsia="Times New Roman" w:cs="Times New Roman"/>
          <w:b/>
          <w:bCs/>
          <w:color w:val="333333"/>
          <w:kern w:val="36"/>
          <w:sz w:val="33"/>
          <w:szCs w:val="33"/>
        </w:rPr>
        <w:t>CÁCH CHĂM SÓC KHI TRẺ BỊ TIÊU CHẢY</w:t>
      </w:r>
      <w:hyperlink r:id="rId6" w:tooltip="Lưu bài viết này" w:history="1">
        <w:r w:rsidRPr="00F64EA0">
          <w:rPr>
            <w:rFonts w:eastAsia="Times New Roman" w:cs="Times New Roman"/>
            <w:i/>
            <w:iCs/>
            <w:color w:val="707070"/>
            <w:sz w:val="32"/>
            <w:szCs w:val="32"/>
          </w:rPr>
          <w:t> </w:t>
        </w:r>
      </w:hyperlink>
      <w:bookmarkStart w:id="0" w:name="_GoBack"/>
      <w:bookmarkEnd w:id="0"/>
    </w:p>
    <w:p w:rsidR="00F64EA0" w:rsidRPr="00F64EA0" w:rsidRDefault="00F64EA0" w:rsidP="00F64EA0">
      <w:pPr>
        <w:spacing w:after="12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1.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Đánh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giá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tình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trạng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của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:</w:t>
      </w:r>
    </w:p>
    <w:p w:rsidR="00F64EA0" w:rsidRPr="00F64EA0" w:rsidRDefault="00F64EA0" w:rsidP="00F64EA0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 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nếu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độ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A</w:t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nghĩa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nhẹ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tỉnh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khóc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mắt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trũng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(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)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bình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thường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lưỡi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ướt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Cho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điện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giải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hơn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bình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thường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dùng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dung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dịch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pha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chế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như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oresol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muối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rang.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ngay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sở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y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tế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:</w:t>
      </w:r>
      <w:proofErr w:type="gram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>- 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dấu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hiệu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độ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B</w:t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kích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thích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khóc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mắt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lưỡi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khát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(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).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>- 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dấu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hiệu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mức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>độ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  <w:u w:val="single"/>
        </w:rPr>
        <w:t xml:space="preserve"> C</w:t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li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mệt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lả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mắt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trũng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khóc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mắt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kém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hoặc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được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Những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lưu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ý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chảy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(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độ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A):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đang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mẹ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tiếp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tục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tăng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số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bữa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sữa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mẹ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vẫn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được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hấp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thu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tốt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chảy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cung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cấp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lượng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quý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eastAsia="Times New Roman" w:cs="Times New Roman"/>
          <w:color w:val="333333"/>
          <w:sz w:val="32"/>
          <w:szCs w:val="32"/>
        </w:rPr>
        <w:br/>
        <w:t>2. </w:t>
      </w:r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Dung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dịch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trị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chảy</w:t>
      </w:r>
      <w:proofErr w:type="spell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Cách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pha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chế</w:t>
      </w:r>
      <w:proofErr w:type="spellEnd"/>
      <w:proofErr w:type="gram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:</w:t>
      </w:r>
      <w:proofErr w:type="gram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Oresol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dung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dịch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tốt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chảy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(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gói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ORS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chứa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glucoza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20g,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NaCl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3,5g,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KCl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1,5g, NaHCO3 2,5g).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gói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oresol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hòa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tan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hoàn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toàn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lít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đun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sôi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nguội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Nếu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dung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dịch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quá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24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giờ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đổ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pha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dung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dịch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eastAsia="Times New Roman" w:cs="Times New Roman"/>
          <w:color w:val="333333"/>
          <w:sz w:val="32"/>
          <w:szCs w:val="32"/>
        </w:rPr>
        <w:br/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muối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nắm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nhúm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muối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6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bát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cơm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sạch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(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tương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1</w:t>
      </w:r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,2</w:t>
      </w:r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lít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),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đun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nhừ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lọc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qua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eastAsia="Times New Roman" w:cs="Times New Roman"/>
          <w:color w:val="333333"/>
          <w:sz w:val="32"/>
          <w:szCs w:val="32"/>
        </w:rPr>
        <w:br/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rang: 50g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rang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gạt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phê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muối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nghiền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nát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lít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sôi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nguội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Cách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: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>-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dưới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2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tuổi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ít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một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bằng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Với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lớn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hơn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từng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ngụm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nhỏ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Nếu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nôn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đợi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10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phút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rồi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tiếp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tục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nhưng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chậm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hơn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từng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2-3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phút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proofErr w:type="gram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>-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4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giờ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đánh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tình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nếu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hiệu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nặng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đến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sở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y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tế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phục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hồi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điện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giải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Dinh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dưỡng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trẻ</w:t>
      </w:r>
      <w:proofErr w:type="spellEnd"/>
      <w:proofErr w:type="gram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:</w:t>
      </w:r>
      <w:proofErr w:type="gram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dưới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6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tuổi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còn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tiếp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tục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mẹ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bình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thường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tăng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lastRenderedPageBreak/>
        <w:t>số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bữa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bú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lớn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hơn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đủ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khẩu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nên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bắt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nhịn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kiêng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khem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mềm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kỹ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ngay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đảm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bảo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vệ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sinh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Nếu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phải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những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thức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đã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nấu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sẵn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phải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đun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Cho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thêm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quả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chín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hoặc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quả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như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chuối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cam,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xoài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...</w:t>
      </w:r>
    </w:p>
    <w:p w:rsidR="00F64EA0" w:rsidRPr="00F64EA0" w:rsidRDefault="00F64EA0" w:rsidP="00F64EA0">
      <w:pPr>
        <w:spacing w:after="120" w:line="408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3.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Biện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pháp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phòng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ngừa</w:t>
      </w:r>
      <w:proofErr w:type="spellEnd"/>
      <w:r w:rsidRPr="00F64EA0">
        <w:rPr>
          <w:rFonts w:eastAsia="Times New Roman" w:cs="Times New Roman"/>
          <w:b/>
          <w:bCs/>
          <w:color w:val="333333"/>
          <w:sz w:val="32"/>
          <w:szCs w:val="32"/>
        </w:rPr>
        <w:t>:</w:t>
      </w:r>
    </w:p>
    <w:p w:rsidR="00F64EA0" w:rsidRPr="00F64EA0" w:rsidRDefault="00F64EA0" w:rsidP="00F64EA0">
      <w:pPr>
        <w:spacing w:after="0" w:line="408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Nuôi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con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bằng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sữa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mẹ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ít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nhất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trong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6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tháng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đầu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đời</w:t>
      </w:r>
      <w:proofErr w:type="spellEnd"/>
      <w:r w:rsidRPr="00F64EA0">
        <w:rPr>
          <w:rFonts w:eastAsia="Times New Roman" w:cs="Times New Roman"/>
          <w:color w:val="000000"/>
          <w:sz w:val="32"/>
          <w:szCs w:val="32"/>
          <w:shd w:val="clear" w:color="auto" w:fill="FFFFFF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chín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sôi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được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lã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hay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nguồn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bị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ô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nhiễm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Sử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dụng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thực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phẩm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rõ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nguồn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gốc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đảm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bảo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vệ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sinh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an</w:t>
      </w:r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toàn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thực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phẩm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không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sử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dụng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đồ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để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lâu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ngày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Tạo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thói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quen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rửa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tay</w:t>
      </w:r>
      <w:proofErr w:type="spellEnd"/>
      <w:proofErr w:type="gram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ăn</w:t>
      </w:r>
      <w:proofErr w:type="spell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Rửa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tay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vệ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sinh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phòng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định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kì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cho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loại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vắc-xin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phòng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ngừa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bệnh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chảy</w:t>
      </w:r>
      <w:proofErr w:type="spell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Cho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trẻ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phòng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đầy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đủ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loại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vắc-xin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trong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chương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trình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chủng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mở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rộng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.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Uống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vắc-xin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ngừa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chảy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do rotavirus.</w:t>
      </w:r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-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Tránh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dung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loại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thực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phẩm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sau</w:t>
      </w:r>
      <w:proofErr w:type="spellEnd"/>
      <w:proofErr w:type="gramStart"/>
      <w:r w:rsidRPr="00F64EA0">
        <w:rPr>
          <w:rFonts w:eastAsia="Times New Roman" w:cs="Times New Roman"/>
          <w:color w:val="333333"/>
          <w:sz w:val="32"/>
          <w:szCs w:val="32"/>
        </w:rPr>
        <w:t>:</w:t>
      </w:r>
      <w:proofErr w:type="gram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+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Thực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phẩm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ít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dinh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dưỡng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nhiều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chất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xơ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hóa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như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: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măng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rau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cần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ngô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và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đỗ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nguyên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hạt</w:t>
      </w:r>
      <w:proofErr w:type="spellEnd"/>
      <w:r w:rsidRPr="00F64EA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F64EA0">
        <w:rPr>
          <w:rFonts w:eastAsia="Times New Roman" w:cs="Times New Roman"/>
          <w:color w:val="333333"/>
          <w:sz w:val="32"/>
          <w:szCs w:val="32"/>
        </w:rPr>
        <w:t xml:space="preserve">+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Các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loại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nước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có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ga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gây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khó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tiêu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,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đầy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 xml:space="preserve"> </w:t>
      </w:r>
      <w:proofErr w:type="spellStart"/>
      <w:r w:rsidRPr="00F64EA0">
        <w:rPr>
          <w:rFonts w:eastAsia="Times New Roman" w:cs="Times New Roman"/>
          <w:color w:val="333333"/>
          <w:sz w:val="32"/>
          <w:szCs w:val="32"/>
        </w:rPr>
        <w:t>bụng</w:t>
      </w:r>
      <w:proofErr w:type="spellEnd"/>
      <w:r w:rsidRPr="00F64EA0">
        <w:rPr>
          <w:rFonts w:eastAsia="Times New Roman" w:cs="Times New Roman"/>
          <w:color w:val="333333"/>
          <w:sz w:val="32"/>
          <w:szCs w:val="32"/>
        </w:rPr>
        <w:t>.           </w:t>
      </w:r>
    </w:p>
    <w:p w:rsidR="006A57AE" w:rsidRDefault="006A57AE"/>
    <w:sectPr w:rsidR="006A57AE" w:rsidSect="00F64EA0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A33DD"/>
    <w:multiLevelType w:val="multilevel"/>
    <w:tmpl w:val="DF5A2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A0"/>
    <w:rsid w:val="00080E4B"/>
    <w:rsid w:val="004176FE"/>
    <w:rsid w:val="006A57AE"/>
    <w:rsid w:val="00D0181E"/>
    <w:rsid w:val="00F6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6725">
          <w:marLeft w:val="-75"/>
          <w:marRight w:val="-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9482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4691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saomai.tptdm.edu.vn/savefile/Goc-phu-huynh/cach-cham-soc-khi-tre-bi-tieu-chay-14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2022-10-17T13:30:00Z</dcterms:created>
  <dcterms:modified xsi:type="dcterms:W3CDTF">2022-10-17T13:31:00Z</dcterms:modified>
</cp:coreProperties>
</file>