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3471D">
      <w:pPr>
        <w:pStyle w:val="NormalWeb"/>
        <w:spacing w:line="288" w:lineRule="auto"/>
        <w:ind w:firstLine="720"/>
        <w:jc w:val="center"/>
        <w:outlineLvl w:val="2"/>
        <w:divId w:val="1148397990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2 - LỨA TUỔI MẪU GIÁO LỚN 5-6 TUỔI - LỚP MGL 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MGLA3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334"/>
        <w:gridCol w:w="2461"/>
        <w:gridCol w:w="2461"/>
        <w:gridCol w:w="2462"/>
        <w:gridCol w:w="2462"/>
        <w:gridCol w:w="1226"/>
      </w:tblGrid>
      <w:tr w:rsidR="00000000">
        <w:trPr>
          <w:divId w:val="1148397990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jc w:val="center"/>
              <w:divId w:val="4044779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jc w:val="center"/>
              <w:divId w:val="8056688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03/02 đến 08/02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jc w:val="center"/>
              <w:divId w:val="70629681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10/02 đến 15/02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jc w:val="center"/>
              <w:divId w:val="138818985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17/02 đến 22/02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jc w:val="center"/>
              <w:divId w:val="20509153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24/02 đến 01/03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jc w:val="center"/>
              <w:divId w:val="213864528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11483979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tóc,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báo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mang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con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góc thiên nhiên.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và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TD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ài “Em yêu cây xanh”.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Thân: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 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</w:tr>
      <w:tr w:rsidR="00000000">
        <w:trPr>
          <w:divId w:val="11483979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r>
              <w:rPr>
                <w:rStyle w:val="plan-content-pre1"/>
              </w:rPr>
              <w:t>GDNSVMTL: Sáng mai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  <w:p w:rsidR="00000000" w:rsidRDefault="0053471D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rau,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 món ăn hàng ngày và và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như rau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canh;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rán, kho,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c: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cơm,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cháo..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quá trình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cây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môi</w:t>
            </w:r>
            <w:r>
              <w:rPr>
                <w:rStyle w:val="plan-content-pre1"/>
              </w:rPr>
              <w:t xml:space="preserve"> trương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rau…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nhóm cây lương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c, rau,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thân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ng, thân bò, thân leo.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băng hình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quá trình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  <w:p w:rsidR="00000000" w:rsidRDefault="0053471D"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nghĩa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khái quát: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MT5</w:t>
            </w:r>
            <w:r>
              <w:rPr>
                <w:rFonts w:eastAsia="Times New Roman"/>
                <w:u w:val="single"/>
              </w:rPr>
              <w:t>4</w:t>
            </w:r>
          </w:p>
        </w:tc>
      </w:tr>
      <w:tr w:rsidR="00000000">
        <w:trPr>
          <w:divId w:val="114839799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hoa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Cắt và dán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M)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vườn cây ăn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 từ lá cây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(ĐT)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MT38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MT108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MT104</w:t>
            </w:r>
          </w:p>
        </w:tc>
      </w:tr>
      <w:tr w:rsidR="00000000">
        <w:trPr>
          <w:divId w:val="11483979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Bật chụm tách chân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Chuyền bóng bên phải, chuyền bóng bên trái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Quả bầu tiên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Ném xa bằng 1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Đá bóng vào gôn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Hoa cúc vàng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</w:tr>
      <w:tr w:rsidR="00000000">
        <w:trPr>
          <w:divId w:val="11483979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TN: Sự đổi màu của cây cải thảo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một số loại rau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GDNSVMTL:Văn minh nơi công cộng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Quá trình phát triển của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</w:tr>
      <w:tr w:rsidR="00000000">
        <w:trPr>
          <w:divId w:val="11483979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quy tắc sắp xếp (mẫu) và sao chép lại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chữ số 9, số lượng và số thứ tự trong phạm vi 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9 đối tượng ra làm hai phần bằng các cách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Đo độ dài </w:t>
            </w:r>
            <w:r>
              <w:rPr>
                <w:rStyle w:val="plan-content-pre1"/>
                <w:rFonts w:eastAsia="Times New Roman"/>
              </w:rPr>
              <w:t>các vật bằng một đơn vị đo, so sánh diễn đạt kết quả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</w:tr>
      <w:tr w:rsidR="00000000">
        <w:trPr>
          <w:divId w:val="11483979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Làm quen chữ cái l,m,n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Mùa Xuân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TC: Bao nhiêu bạn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quen chữ cái h, </w:t>
            </w:r>
            <w:r>
              <w:rPr>
                <w:rStyle w:val="plan-content-pre1"/>
                <w:rFonts w:eastAsia="Times New Roman"/>
              </w:rPr>
              <w:lastRenderedPageBreak/>
              <w:t>k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Dạy hát: Em yêu </w:t>
            </w:r>
            <w:r>
              <w:rPr>
                <w:rStyle w:val="plan-content-pre1"/>
                <w:rFonts w:eastAsia="Times New Roman"/>
              </w:rPr>
              <w:lastRenderedPageBreak/>
              <w:t>cây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Lý cây bông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</w:tr>
      <w:tr w:rsidR="00000000">
        <w:trPr>
          <w:divId w:val="11483979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chữ cái l,m, 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Quả bầu tiên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chữ h-k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</w:tr>
      <w:tr w:rsidR="00000000">
        <w:trPr>
          <w:divId w:val="114839799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Cây cúc mâm xôi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Nhảy bao bố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lá cây, sỏi, phấn, vòng.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Cây hoa hồng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Trốn tìm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theo ý thích: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Vườn bưởi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Bắt chước bác nông dân làm vườn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đồ chơi ngoài trời, phấn, vòng, bóng, sỏi, cát,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Nông dân đua tài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theo ý thích: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MT23</w:t>
            </w:r>
          </w:p>
        </w:tc>
      </w:tr>
      <w:tr w:rsidR="00000000">
        <w:trPr>
          <w:divId w:val="11483979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TN: Hạt tiêu chạy trốn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Nhảy lò cò 5m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Cướp cờ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thử nghiệm và sử dụng công cụ đơn giản để quan sát, so sánh, dự đoán, nhận xét và thảo luận. Thử nghiệm gieo hạt/ trồng cây được tưới nước và không tưới, theo dõi và so sánh sự phát triển.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lastRenderedPageBreak/>
              <w:t>(MT23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VĐCB: Đi trên ghế thể dục đầu đội túi cát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Kiến sang sông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</w:tr>
      <w:tr w:rsidR="00000000">
        <w:trPr>
          <w:divId w:val="11483979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Luồn luồn sang sông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lá cây, phấn, bóng, sỏi...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Cây hoa đồng tiền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Bác nông dân thông thái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Đồ ch</w:t>
            </w:r>
            <w:r>
              <w:rPr>
                <w:rStyle w:val="plan-content-pre1"/>
                <w:rFonts w:eastAsia="Times New Roman"/>
              </w:rPr>
              <w:t>ơi ngoài trời, khu vận động, lá, phấn.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Cây lưỡi hổ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phấn, bóng, lá cây, đồ chơi ngoài trời...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Cây nhãn.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Trồng nụ trồng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Đồ chơi ngoài trời, khu vận động.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</w:tr>
      <w:tr w:rsidR="00000000">
        <w:trPr>
          <w:divId w:val="11483979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dân vũ với lớp MGL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câu đố với lớp A4: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Chủ đề " Thực vật"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văn nghệ với lớp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các trò chơi dân gian với lớp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</w:tr>
      <w:tr w:rsidR="00000000">
        <w:trPr>
          <w:divId w:val="11483979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Nhặt lá cây quan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Tưới cây quanh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Cho trẻ tưới cây các góc thiên nhiên tại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Cho trẻ nhặt lá vàng, nhổ cỏ, tưới cây tại goác thiên nhiên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</w:tr>
      <w:tr w:rsidR="00000000">
        <w:trPr>
          <w:divId w:val="11483979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Góc thiên nhiên của lớp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Úm ba la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Cây hoa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Chơi chuyền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Cây hoa đỗ quyên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Nu na nu nống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theo ý thích: Chơi với lá cây, cát, sỏi, phấn,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sát: Bầu trời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</w:tr>
      <w:tr w:rsidR="00000000">
        <w:trPr>
          <w:divId w:val="11483979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r>
              <w:rPr>
                <w:rStyle w:val="plan-content-pre1"/>
              </w:rPr>
              <w:t>GDNSVMTL: Vui chơi đoàn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  <w:p w:rsidR="00000000" w:rsidRDefault="0053471D">
            <w:r>
              <w:rPr>
                <w:rStyle w:val="plan-content-pre1"/>
              </w:rPr>
              <w:lastRenderedPageBreak/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(T1)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 (T2). Chơi góc Phân vai ( T3) .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(T4).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hoa,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Chơi “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túi k</w:t>
            </w:r>
            <w:r>
              <w:rPr>
                <w:rStyle w:val="plan-content-pre1"/>
              </w:rPr>
              <w:t>ỳ</w:t>
            </w:r>
            <w:r>
              <w:rPr>
                <w:rStyle w:val="plan-content-pre1"/>
              </w:rPr>
              <w:t xml:space="preserve">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u”, 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9,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1-9,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theo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in,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làm sách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l, m, n,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+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i, cây, hoa, rau,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 In lá cây,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màu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o </w:t>
            </w:r>
            <w:r>
              <w:rPr>
                <w:rStyle w:val="plan-content-pre1"/>
              </w:rPr>
              <w:t>thành cây,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hoa, rau,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hoa,lá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 xanh, lau lá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TN cây xanh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ánh sáng, không khí, theo dõi qúa trình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cây.Rèn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và chăm sóc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xem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: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dưa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bông hoa cú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cây tre trăm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t.....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</w:tr>
      <w:tr w:rsidR="00000000">
        <w:trPr>
          <w:divId w:val="11483979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các món ăn hàng ngày và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n: rau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canh,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, rán, kho,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cơm,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cháo..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các, món ăn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</w:t>
            </w:r>
            <w:r>
              <w:rPr>
                <w:rStyle w:val="plan-content-pre1"/>
                <w:b/>
                <w:bCs/>
                <w:color w:val="337AB7"/>
              </w:rPr>
              <w:t>MT9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  <w:p w:rsidR="00000000" w:rsidRDefault="0053471D">
            <w:r>
              <w:rPr>
                <w:rStyle w:val="plan-content-pre1"/>
              </w:rPr>
              <w:t>GDNSVMTL: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ngon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  <w:p w:rsidR="00000000" w:rsidRDefault="0053471D"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khi tham gia vào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đi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riêng,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úp thìa vào đĩa khi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cơm,nghiêng bát xúc khi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cơm trong bát.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cơm và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đúng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áo,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đi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chăn,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các, món ăn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  <w:p w:rsidR="00000000" w:rsidRDefault="0053471D"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nhóm: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giàu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m: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t, cá…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giàu vitamin và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khoáng: rau,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…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</w:t>
            </w:r>
            <w:r>
              <w:rPr>
                <w:rFonts w:eastAsia="Times New Roman"/>
                <w:u w:val="single"/>
              </w:rPr>
              <w:t>8</w:t>
            </w:r>
          </w:p>
        </w:tc>
      </w:tr>
      <w:tr w:rsidR="00000000">
        <w:trPr>
          <w:divId w:val="114839799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lễ giáo chào hỏi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cách chú ý lắng nghe khi cô, bạn nói, không ngắt lời người khác.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cách gấp chăn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chăm sóc cây xanh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MT80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MT83</w:t>
            </w:r>
          </w:p>
        </w:tc>
      </w:tr>
      <w:tr w:rsidR="00000000">
        <w:trPr>
          <w:divId w:val="11483979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Hoa kết trái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Sự tích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Đồng dao: Đồng dao về củ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Cây rau của Thỏ út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</w:tr>
      <w:tr w:rsidR="00000000">
        <w:trPr>
          <w:divId w:val="11483979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một số loại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biết an ủi, chia vui với người thân và bạn bè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Lý cây xanh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xem video một số hình ảnh lế hội làng Tình Quang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</w:tr>
      <w:tr w:rsidR="00000000">
        <w:trPr>
          <w:divId w:val="11483979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BT toán trang 7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BT toán trang 17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BT toán trang 18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BT toán trang 21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</w:tr>
      <w:tr w:rsidR="00000000">
        <w:trPr>
          <w:divId w:val="11483979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tô chữ cái l-m-n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Bài tập luyện phát âm-Bài 11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tô chữ cái h-k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Cô cùng trẻ lau chùi sắp xếp đồ dùng đồ chơi các góc gọn gàng, ngăn nắp.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Liên hoan văn nghệ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</w:tr>
      <w:tr w:rsidR="00000000">
        <w:trPr>
          <w:divId w:val="11483979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số và cho trẻ đếm theo khả năng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Cùng cô lau giá đồ chơi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chữ bé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tranh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</w:tr>
      <w:tr w:rsidR="00000000">
        <w:trPr>
          <w:divId w:val="11483979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Mùa xuân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loại rau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Cây thân leo, thân bò, </w:t>
            </w:r>
            <w:r>
              <w:rPr>
                <w:rFonts w:eastAsia="Times New Roman"/>
              </w:rPr>
              <w:lastRenderedPageBreak/>
              <w:t xml:space="preserve">thân đứng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Quá trình phát triển </w:t>
            </w:r>
            <w:r>
              <w:rPr>
                <w:rFonts w:eastAsia="Times New Roman"/>
              </w:rPr>
              <w:lastRenderedPageBreak/>
              <w:t xml:space="preserve">cây ( Cây cần gì để lớn lên)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3471D">
            <w:pPr>
              <w:rPr>
                <w:rFonts w:eastAsia="Times New Roman"/>
              </w:rPr>
            </w:pPr>
          </w:p>
        </w:tc>
      </w:tr>
      <w:tr w:rsidR="00000000">
        <w:trPr>
          <w:divId w:val="114839799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347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53471D">
            <w:pPr>
              <w:pStyle w:val="text-center-report"/>
              <w:spacing w:before="0" w:beforeAutospacing="0" w:after="0" w:afterAutospacing="0"/>
              <w:divId w:val="7367359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53471D">
            <w:pPr>
              <w:rPr>
                <w:rFonts w:eastAsia="Times New Roman"/>
              </w:rPr>
            </w:pPr>
          </w:p>
          <w:p w:rsidR="00000000" w:rsidRDefault="005347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53471D">
            <w:pPr>
              <w:pStyle w:val="text-center-report"/>
              <w:spacing w:before="0" w:beforeAutospacing="0" w:after="0" w:afterAutospacing="0"/>
              <w:divId w:val="187433923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53471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ngày 24/01/2025</w:t>
            </w:r>
          </w:p>
          <w:p w:rsidR="00000000" w:rsidRDefault="0053471D">
            <w:pPr>
              <w:rPr>
                <w:rFonts w:eastAsia="Times New Roman"/>
              </w:rPr>
            </w:pPr>
          </w:p>
        </w:tc>
      </w:tr>
    </w:tbl>
    <w:p w:rsidR="00000000" w:rsidRDefault="0053471D">
      <w:pPr>
        <w:pStyle w:val="Heading2"/>
        <w:spacing w:before="0" w:beforeAutospacing="0" w:after="0" w:afterAutospacing="0" w:line="288" w:lineRule="auto"/>
        <w:ind w:firstLine="720"/>
        <w:jc w:val="both"/>
        <w:divId w:val="1148397990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1148397990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53471D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</w:t>
            </w:r>
            <w:r>
              <w:rPr>
                <w:rStyle w:val="only-print"/>
                <w:rFonts w:eastAsia="Times New Roman"/>
                <w:b/>
                <w:bCs/>
              </w:rPr>
              <w:t>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347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53471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148397990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53471D">
            <w:pPr>
              <w:jc w:val="center"/>
              <w:divId w:val="172059078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6" name="principal" descr="C:\Users\Win7U\Desktop\kehoachgiaoduc-173866753229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C:\Users\Win7U\Desktop\kehoachgiaoduc-173866753229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53471D">
            <w:pPr>
              <w:divId w:val="1720590783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04/02/202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53471D">
            <w:pPr>
              <w:jc w:val="center"/>
              <w:divId w:val="804664290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" descr="C:\Users\Win7U\Desktop\kehoachgiaoduc-173866753229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C:\Users\Win7U\Desktop\kehoachgiaoduc-173866753229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53471D">
            <w:pPr>
              <w:divId w:val="804664290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04/02/202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53471D">
            <w:pPr>
              <w:jc w:val="center"/>
              <w:divId w:val="1649437444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" descr="C:\Users\Win7U\Desktop\kehoachgiaoduc-1738667532294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C:\Users\Win7U\Desktop\kehoachgiaoduc-1738667532294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53471D">
            <w:pPr>
              <w:divId w:val="1649437444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04/02/202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53471D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3471D"/>
    <w:rsid w:val="0053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5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8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35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39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C:\Users\Win7U\Desktop\kehoachgiaoduc-1738667532294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Win7U</cp:lastModifiedBy>
  <cp:revision>2</cp:revision>
  <dcterms:created xsi:type="dcterms:W3CDTF">2025-02-04T11:14:00Z</dcterms:created>
  <dcterms:modified xsi:type="dcterms:W3CDTF">2025-02-04T11:14:00Z</dcterms:modified>
</cp:coreProperties>
</file>