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C42CB" w14:textId="56BCA365" w:rsidR="00000000" w:rsidRDefault="00000000">
      <w:pPr>
        <w:pStyle w:val="NormalWeb"/>
        <w:spacing w:line="288" w:lineRule="auto"/>
        <w:ind w:firstLine="720"/>
        <w:jc w:val="center"/>
        <w:outlineLvl w:val="2"/>
        <w:divId w:val="2207522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8 - LỨA TUỔI MẪU GIÁO BÉ 3-4 TUỔI - LỚP MGB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7F73E1">
        <w:rPr>
          <w:rFonts w:eastAsia="Times New Roman"/>
          <w:b/>
          <w:bCs/>
          <w:sz w:val="28"/>
          <w:szCs w:val="28"/>
        </w:rPr>
        <w:t xml:space="preserve">Đào Thị Lan – Nguyễn Thị Bích Phượng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34"/>
        <w:gridCol w:w="1981"/>
        <w:gridCol w:w="1981"/>
        <w:gridCol w:w="1981"/>
        <w:gridCol w:w="1981"/>
        <w:gridCol w:w="1981"/>
        <w:gridCol w:w="1185"/>
      </w:tblGrid>
      <w:tr w:rsidR="00000000" w14:paraId="76025754" w14:textId="77777777">
        <w:trPr>
          <w:divId w:val="22075225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5085" w14:textId="77777777" w:rsidR="00000000" w:rsidRDefault="00000000">
            <w:pPr>
              <w:jc w:val="center"/>
              <w:divId w:val="163698343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D1F0" w14:textId="77777777" w:rsidR="00000000" w:rsidRDefault="00000000">
            <w:pPr>
              <w:jc w:val="center"/>
              <w:divId w:val="17499999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29/07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EB2F0" w14:textId="77777777" w:rsidR="00000000" w:rsidRDefault="00000000">
            <w:pPr>
              <w:jc w:val="center"/>
              <w:divId w:val="66023820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3775B" w14:textId="77777777" w:rsidR="00000000" w:rsidRDefault="00000000">
            <w:pPr>
              <w:jc w:val="center"/>
              <w:divId w:val="37481463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6B38E" w14:textId="77777777" w:rsidR="00000000" w:rsidRDefault="00000000">
            <w:pPr>
              <w:jc w:val="center"/>
              <w:divId w:val="101489060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30BBB" w14:textId="77777777" w:rsidR="00000000" w:rsidRDefault="00000000">
            <w:pPr>
              <w:jc w:val="center"/>
              <w:divId w:val="59567165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26/08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C0CE" w14:textId="77777777" w:rsidR="00000000" w:rsidRDefault="00000000">
            <w:pPr>
              <w:jc w:val="center"/>
              <w:divId w:val="131564039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0A64BC01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301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F470" w14:textId="77777777" w:rsidR="00000000" w:rsidRDefault="00000000">
            <w:r>
              <w:rPr>
                <w:rStyle w:val="plan-content-pre1"/>
              </w:rPr>
              <w:t xml:space="preserve">-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: * TDS: ( Hoa,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10 </w:t>
            </w:r>
            <w:proofErr w:type="spellStart"/>
            <w:r>
              <w:rPr>
                <w:rStyle w:val="plan-content-pre1"/>
              </w:rPr>
              <w:t>chàng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tý</w:t>
            </w:r>
            <w:proofErr w:type="spellEnd"/>
            <w:r>
              <w:rPr>
                <w:rStyle w:val="plan-content-pre1"/>
              </w:rPr>
              <w:t xml:space="preserve">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shoo fly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triển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co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97334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79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2062EDB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33C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22BA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 (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>...).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14:paraId="4428ED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36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36DA4A" w14:textId="77777777">
        <w:trPr>
          <w:divId w:val="2207522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7DB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E6D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BAEA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B473F3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51DE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FD31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1E125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“Ai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656BF9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7654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5D61EE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6D4F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00B2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4D942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NH:Cho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-TCAN: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E546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768F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5E2E7A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1CDDF1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2A1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4B404A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3C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F8A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3DBB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DA196A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1CAE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AC22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8A7C16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B3D8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65E6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9E15C0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9470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B982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E28426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-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87E1B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751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99B67E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EE9D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7BB5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E10A234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33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561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5B11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D674ED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gậy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4965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96B9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D61806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88F0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E3D2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5FDE4C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Taxi </w:t>
            </w:r>
          </w:p>
          <w:p w14:paraId="283E82A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25B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C3B31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EF5D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18ED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460D2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“Con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717D10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752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5CFF5A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B65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E93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EB78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DB438E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cam -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5F87F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D88A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2E0647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57AA4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BE2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68B11C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359B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A097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769B6A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90124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94AA9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45229A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15F4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D26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8F65062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DB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618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03BA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1FC633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</w:p>
          <w:p w14:paraId="4A75D7D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38A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275BA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"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80E4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B8D3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BF675F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17600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C302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46138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T/g: Nguyễn Thị Bích </w:t>
            </w:r>
            <w:proofErr w:type="spellStart"/>
            <w:r>
              <w:rPr>
                <w:rStyle w:val="plan-content-pre1"/>
                <w:rFonts w:eastAsia="Times New Roman"/>
              </w:rPr>
              <w:t>Hiền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C7B7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509E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FE9779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9E07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321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823984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B5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C5E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BA8C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4A691D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gậy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Cáo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34C94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9A3A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3A7D36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65BD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1FD55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D0078D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</w:p>
          <w:p w14:paraId="162813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D9E8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6038674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DF09B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E75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509A1B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“Con </w:t>
            </w:r>
            <w:proofErr w:type="spellStart"/>
            <w:r>
              <w:rPr>
                <w:rStyle w:val="plan-content-pre1"/>
                <w:rFonts w:eastAsia="Times New Roman"/>
              </w:rPr>
              <w:t>bọ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14:paraId="2D8ED0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21E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7B4134" w14:textId="77777777">
        <w:trPr>
          <w:divId w:val="2207522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748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A8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C7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bưởi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A1FE6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9D4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DFA24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6F6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gậy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giấy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B581B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4FF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14:paraId="2C7756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9C8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8651A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14E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D7ACD9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4C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E17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26F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52BA0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8BC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1C71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508F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14:paraId="2A762F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8DA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645DDC8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44F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C3: </w:t>
            </w:r>
            <w:proofErr w:type="spellStart"/>
            <w:r>
              <w:rPr>
                <w:rStyle w:val="plan-content-pre1"/>
                <w:rFonts w:eastAsia="Times New Roman"/>
              </w:rPr>
              <w:t>Tro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D8E0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11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CB88B1A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EE0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68D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CD19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HDCCĐ: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411F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566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HĐCCĐ: 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4AFB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E0D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48437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EAF5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7A33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7BF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14:paraId="314B1EF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E44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21CB13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42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813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7AF4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hút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CC65F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0F53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xoáy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mini </w:t>
            </w:r>
          </w:p>
          <w:p w14:paraId="307C57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9D59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nghiệm:Đổi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C3B4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251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620F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42B0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2316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123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86164D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79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E2A1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28F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4AC9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4F2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7A3B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954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5910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DD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4A6C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7374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58168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32C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B743985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5F6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3E6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CACB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63D99E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5EDB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48CCE5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F909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59ABC5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50EB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61A208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AB8F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14:paraId="3C363C4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A51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69ED615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9F2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3E91" w14:textId="77777777" w:rsidR="00000000" w:rsidRDefault="00000000"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( T1)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con,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bán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hàng</w:t>
            </w:r>
            <w:proofErr w:type="spellEnd"/>
            <w:r>
              <w:rPr>
                <w:rStyle w:val="plan-content-pre1"/>
              </w:rPr>
              <w:t>. ( T2)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hình:Sử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xoay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dẹt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65DF03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935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9FB6D7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B1E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CA2F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3B7634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6FB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12BC9CB" w14:textId="77777777">
        <w:trPr>
          <w:divId w:val="2207522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3D8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71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CBA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1BF00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417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</w:t>
            </w:r>
            <w:proofErr w:type="spellStart"/>
            <w:r>
              <w:rPr>
                <w:rStyle w:val="plan-content-pre1"/>
                <w:rFonts w:eastAsia="Times New Roman"/>
              </w:rPr>
              <w:t>chùm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8575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74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8488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8F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EAE2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A89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thìa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793E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CB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C6A2C20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73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A7A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B92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AC59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34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miệng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CBB4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483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9E05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F713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B621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FBD9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87E8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B5E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C0A5D6A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98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D41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279F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Hoa </w:t>
            </w:r>
            <w:proofErr w:type="spellStart"/>
            <w:r>
              <w:rPr>
                <w:rStyle w:val="plan-content-pre1"/>
                <w:rFonts w:eastAsia="Times New Roman"/>
              </w:rPr>
              <w:t>đỗ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FE31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D8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4728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7A98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30B5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A839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57DC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86DC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87EA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78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E98FF5A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7E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442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D62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7B6CE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DA1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FE4A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D0A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DA37D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B86C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3E98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390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3B752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465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B2D02CD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07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B59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1097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F44A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FAD6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3BC2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D44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6FA9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070F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BB29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55F3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C333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747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55ED33B" w14:textId="77777777">
        <w:trPr>
          <w:divId w:val="2207522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38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E0C5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CFC1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50C4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EFF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F4D1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DA41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5D57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E1F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76001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D6F7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D9A8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B83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3D223E8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347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44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D21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Thực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E40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Thực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677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288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BD4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DB92C68" w14:textId="77777777">
        <w:trPr>
          <w:divId w:val="2207522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4515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0B3F339D" w14:textId="77777777" w:rsidR="00000000" w:rsidRDefault="00000000">
            <w:pPr>
              <w:jc w:val="center"/>
              <w:divId w:val="887061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12ABC09D" w14:textId="77777777" w:rsidR="00000000" w:rsidRDefault="00000000">
            <w:pPr>
              <w:rPr>
                <w:rFonts w:eastAsia="Times New Roman"/>
              </w:rPr>
            </w:pPr>
          </w:p>
          <w:p w14:paraId="620911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DCADEF5">
                <v:rect id="_x0000_i1025" style="width:0;height:1.5pt" o:hralign="center" o:hrstd="t" o:hr="t" fillcolor="#a0a0a0" stroked="f"/>
              </w:pict>
            </w:r>
          </w:p>
          <w:p w14:paraId="10FD3D0B" w14:textId="77777777" w:rsidR="00000000" w:rsidRDefault="00000000">
            <w:pPr>
              <w:jc w:val="center"/>
              <w:divId w:val="1610771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5E1B98B9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26/7/2024</w:t>
            </w:r>
          </w:p>
          <w:p w14:paraId="63BEE73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3E95C30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2075225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4224D67E" w14:textId="77777777">
        <w:trPr>
          <w:divId w:val="220752251"/>
          <w:tblCellSpacing w:w="15" w:type="dxa"/>
        </w:trPr>
        <w:tc>
          <w:tcPr>
            <w:tcW w:w="0" w:type="auto"/>
            <w:vAlign w:val="center"/>
            <w:hideMark/>
          </w:tcPr>
          <w:p w14:paraId="1A825F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63A3D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503F0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3755EF62" w14:textId="77777777">
        <w:trPr>
          <w:divId w:val="220752251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1A45847B" w14:textId="77777777" w:rsidR="00000000" w:rsidRDefault="00000000">
            <w:pPr>
              <w:jc w:val="center"/>
              <w:divId w:val="31044495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AD83C17" wp14:editId="44860516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81AF4" w14:textId="77777777" w:rsidR="00000000" w:rsidRDefault="00000000">
            <w:pPr>
              <w:divId w:val="31044495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042EEC4B" w14:textId="77777777" w:rsidR="00000000" w:rsidRDefault="00000000">
            <w:pPr>
              <w:jc w:val="center"/>
              <w:divId w:val="159882920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47E08D0" wp14:editId="5224FC03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BB138" w14:textId="77777777" w:rsidR="00000000" w:rsidRDefault="00000000">
            <w:pPr>
              <w:divId w:val="159882920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023A7F20" w14:textId="77777777" w:rsidR="00000000" w:rsidRDefault="00000000">
            <w:pPr>
              <w:jc w:val="center"/>
              <w:divId w:val="15838344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6FE4E0DE" wp14:editId="3A93A66D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B9092" w14:textId="77777777" w:rsidR="00000000" w:rsidRDefault="00000000">
            <w:pPr>
              <w:divId w:val="158383443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06/08/2024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76CD51DF" w14:textId="77777777" w:rsidR="00F54980" w:rsidRDefault="00F5498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5498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E1"/>
    <w:rsid w:val="007F73E1"/>
    <w:rsid w:val="00EF3B79"/>
    <w:rsid w:val="00F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A581E"/>
  <w15:chartTrackingRefBased/>
  <w15:docId w15:val="{FFF589FF-C0D5-4B57-A7F3-70906CFE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8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61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1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Downloads\kehoachgiaoduc-172296076798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DELL</cp:lastModifiedBy>
  <cp:revision>2</cp:revision>
  <dcterms:created xsi:type="dcterms:W3CDTF">2024-08-06T16:13:00Z</dcterms:created>
  <dcterms:modified xsi:type="dcterms:W3CDTF">2024-08-06T16:13:00Z</dcterms:modified>
</cp:coreProperties>
</file>